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ACJC/156/2017 vom 14. Februar 2017</w:t>
      </w:r>
    </w:p>
    <w:p>
      <w:r>
        <w:t>GE Cour de justice, 2017-02-14, FR</w:t>
      </w:r>
    </w:p>
    <w:p>
      <w:r>
        <w:rPr>
          <w:b/>
        </w:rPr>
        <w:t xml:space="preserve">Quelle: </w:t>
      </w:r>
      <w:r>
        <w:t>https://mcp.opencaselaw.ch/entscheid/ge_gerichte_ACJC_156_2017</w:t>
      </w:r>
    </w:p>
    <w:p>
      <w:r>
        <w:t>FR: GE_GERICHTE ACJC/156/2017 du 14 février 2017</w:t>
      </w:r>
    </w:p>
    <w:p>
      <w:r>
        <w:t>IT: GE_GERICHTE ACJC/156/2017 del 14 febbraio 2017</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w:t>
      </w:r>
    </w:p>
    <w:p>
      <w:r>
        <w:rPr>
          <w:b/>
        </w:rPr>
        <w:t>E. 1.2</w:t>
      </w:r>
    </w:p>
    <w:p>
      <w:r>
        <w:t>Par l'ordonnance attaquée, le Tribunal a refusé la simplification de la procédure au sens de l'art. 125 let. a CPC et fixé un délai à la recourante pour répondre à la demande reconventionnelle. Il a donc rendu une ordonnance d'instruction dans laquelle il a statué sur le déroulement et la conduite de la procédure. Sa décision peut ainsi faire l'objet d'un recours conformément à l'art. 319 let. b CPC.</w:t>
      </w:r>
    </w:p>
    <w:p>
      <w:r>
        <w:rPr>
          <w:b/>
        </w:rPr>
        <w:t>E. 1.3</w:t>
      </w:r>
    </w:p>
    <w:p>
      <w:r>
        <w:t>Le recours, écrit et motivé, doit être déposé auprès de l'instance de recours dans un délai de 10 jours à compter de la notification de la décision (art. 321 al. 1 et 3 CPC).</w:t>
      </w:r>
    </w:p>
    <w:p>
      <w:r>
        <w:t>En l'espèce, le recours a été introduit dans le délai et la forme prescrits par la loi (art. 130, 131, 142 al. 3 et 321 CPC), de sorte qu'il est recevable sous cet angle.</w:t>
      </w:r>
    </w:p>
    <w:p>
      <w:r>
        <w:rPr>
          <w:b/>
        </w:rPr>
        <w:t>E. 1.4</w:t>
      </w:r>
    </w:p>
    <w:p>
      <w:r>
        <w:t>Reste à déterminer si l'ordonnance querellée est susceptible de causer à la recourante un préjudice difficilement réparable.</w:t>
      </w:r>
    </w:p>
    <w:p>
      <w:r>
        <w:rPr>
          <w:b/>
        </w:rPr>
        <w:t>E. 1.4.1</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w:t>
      </w:r>
    </w:p>
    <w:p>
      <w:r>
        <w:t>- 5/8 -</w:t>
      </w:r>
    </w:p>
    <w:p>
      <w:r>
        <w:t>C/15975/2015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OBERHAMMER [éd.], 2ème éd. 2014, n° 13 ad art. 319 CPC; BLICKENSTORFER, op. cit., n° 40 ad art. 319 CPC; DONZALLAZ, La notion de préjudice difficilement réparable dans le Code de procédure civile suisse, in Il Codice di diritto processuale civile svizzero, 2011, p. 183 et jurisprudence citée).</w:t>
      </w:r>
    </w:p>
    <w:p>
      <w:r>
        <w:rPr>
          <w:b/>
        </w:rPr>
        <w:t>E. 1.4.2</w:t>
      </w:r>
    </w:p>
    <w:p>
      <w:r>
        <w:t>Le droit d'être entendu garanti par les art. 29 al. 2 Cst. et 6 CEDH comprend en particulier le droit, pour une partie à un procès, de prendre connaissance de toute argumentation présentée au tribunal et de se déterminer à son propos ("droit de réplique", "Replikrecht" );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484 consid. 2.1; 137 I 195 consid. 2.3.1; arrêt du Tribunal fédéral 4A_29/2014 du 7 mai 2014 consid. 3, non publié in ATF 140 III 159).</w:t>
      </w:r>
    </w:p>
    <w:p>
      <w:r>
        <w:rPr>
          <w:b/>
        </w:rPr>
        <w:t>E. 1.4.3</w:t>
      </w:r>
    </w:p>
    <w:p>
      <w:r>
        <w:t>En l'espèce, par son ordonnance du 24 août 2016, le Tribunal a refusé d'ordonner la limitation de la procédure requise par le recourant, en tenant compte de la détermination de l'intimée du 17 août 2016, sans la communiquer au recourant avant de statuer. Ce dernier n'en a eu connaissance que le 5 septembre 2016 et n'a ainsi pas été en mesure de se déterminer à son propos. Le Tribunal ne pouvait admettre que le recourant avait renoncé à répliquer lorsqu'il a statué prématurément sur la requête de simplification de la procédure. La nature de la décision querellée, qui porte sur la limitation de la procédure à une question déterminée et le délai imparti au recourant pour répondre à la demande reconventionnelle, ne justifie par ailleurs aucune limitation de cette garantie procédurale, dès lors que l'effectivité des mesures prononcées ne dépend pas de la rapidité du processus décisionnel, ni de l'effet de surprise comme dans le cas de mesures provisionnelles (ATF 139 I 189).</w:t>
      </w:r>
    </w:p>
    <w:p>
      <w:r>
        <w:t>- 6/8 -</w:t>
      </w:r>
    </w:p>
    <w:p>
      <w:r>
        <w:t>C/15975/2015</w:t>
      </w:r>
    </w:p>
    <w:p>
      <w:r>
        <w:t>Il apparaît ainsi que le Tribunal a violé le droit d'être entendu du recourant en ne lui garantissant pas son droit de répliquer.</w:t>
      </w:r>
    </w:p>
    <w:p>
      <w:r>
        <w:t>Dans la mesure où l'ordonnance attaquée a été rendue au début de la procédure, il apparaît disproportionné d'exiger du recourant qu'il attende le prononcé du jugement final pour se plaindre de ladite violation.</w:t>
      </w:r>
    </w:p>
    <w:p>
      <w:r>
        <w:t>La condition du préjudice difficilement réparable est dès lors réalisée, de sorte qu'il se justifie d'entrer en matière sur le recours.</w:t>
      </w:r>
    </w:p>
    <w:p>
      <w:r>
        <w:t>La violation précitée ne pouvant être guérie dans la présente procédure de recours (cf. art. 320 CPC), l'ordonnance attaquée sera annulée.</w:t>
      </w:r>
    </w:p>
    <w:p>
      <w:r>
        <w:rPr>
          <w:b/>
        </w:rPr>
        <w:t>E. 3</w:t>
      </w:r>
    </w:p>
    <w:p>
      <w:r>
        <w:t>Les frais judiciaires du recours, comprenant ceux de la décision sur suspension de l'effet exécutoire, seront arrêtés à 1'000 fr. (art. 41 RTFMC), mis à la charge de l'intimée, qui succombe (art. 106 al. 1 CPC), et compensés avec l'avance effectuée par le recourant, qui reste acquise à l'Etat de Genève (art. 111 al. 1 CPC). L'intimée sera en conséquence condamnée à verser 1'000 fr. au recourant à titre de frais judiciaires du recours.</w:t>
      </w:r>
    </w:p>
    <w:p>
      <w:r>
        <w:t>L'intimée sera en outre condamnée aux dépens du recourant, fixés à 1'000 fr., débours et TVA inclus (art. 85, 87 et 90 RTFMC; art. 25 et 26 LaCC). * * * * * *</w:t>
      </w:r>
    </w:p>
    <w:p>
      <w:r>
        <w:t>- 7/8 -</w:t>
      </w:r>
    </w:p>
    <w:p>
      <w:r>
        <w:t>C/15975/2015</w:t>
      </w:r>
    </w:p>
    <w:p>
      <w:r>
        <w:t>PAR CES MOTIFS, La Chambre civile : A la forme : Déclare recevable le recours interjeté le 9 septembre 2016 par A______ contre l'ordonnance rendue le 24 août 2016 par le Tribunal de première instance dans la cause C/15975/2015-20. Au fond : Annule l'ordonnance attaquée. Déboute les parties de toutes autres conclusions. Sur les frais : Arrête les frais judiciaires de recours à 1'000 fr., les met à la charge de la B______ et les compense avec l'avance fournie, qui reste acquise à l'Etat de Genève. Condamne la B______ à verser à A______ 1'000 fr. à titre de frais judiciaires de recours et 1'000 fr. à titre de dépens de recours. Siégeant : Madame Florence KRAUSKOPF, présidente; Monsieur Ivo BUETTI, Madame Ursula ZEHETBAUER GHAVAMI, juges; Madame Camille LESTEVEN, greffière.</w:t>
      </w:r>
    </w:p>
    <w:p>
      <w:r>
        <w:t>La présidente : Florence KRAUSKOPF</w:t>
      </w:r>
    </w:p>
    <w:p>
      <w:r>
        <w:t>La greffière : Camille LESTEVEN</w:t>
      </w:r>
    </w:p>
    <w:p>
      <w:r>
        <w:t>- 8/8 -</w:t>
      </w:r>
    </w:p>
    <w:p>
      <w:r>
        <w:t>C/15975/2015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