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ACJC/1569/2020 vom 26. Oktober 2020</w:t>
      </w:r>
    </w:p>
    <w:p>
      <w:r>
        <w:t>GE Cour de justice, 2020-10-26, FR</w:t>
      </w:r>
    </w:p>
    <w:p>
      <w:r>
        <w:rPr>
          <w:b/>
        </w:rPr>
        <w:t xml:space="preserve">Quelle: </w:t>
      </w:r>
      <w:r>
        <w:t>https://mcp.opencaselaw.ch/entscheid/ge_gerichte_ACJC_1569_2020</w:t>
      </w:r>
    </w:p>
    <w:p>
      <w:r>
        <w:t>FR: GE_GERICHTE ACJC/1569/2020 du 26 octobre 2020</w:t>
      </w:r>
    </w:p>
    <w:p>
      <w:r>
        <w:t>IT: GE_GERICHTE ACJC/1569/2020 del 26 ottobre 2020</w:t>
      </w:r>
    </w:p>
    <w:p>
      <w:pPr>
        <w:pStyle w:val="Heading2"/>
      </w:pPr>
      <w:r>
        <w:t>Erwägungen</w:t>
      </w:r>
    </w:p>
    <w:p>
      <w:r>
        <w:rPr>
          <w:b/>
        </w:rPr>
        <w:t>E. 1</w:t>
      </w:r>
    </w:p>
    <w:p>
      <w:r>
        <w:t>La cause présente un élément d'extranéité dans la mesure où tant l'adopté que l'adoptant sont de nationalité étrangère.</w:t>
      </w:r>
    </w:p>
    <w:p>
      <w:r>
        <w:rPr>
          <w:b/>
        </w:rPr>
        <w:t>E. 1.1</w:t>
      </w:r>
    </w:p>
    <w:p>
      <w:r>
        <w:t>La convention de La Haye du 29 mai 1993 sur la protection des enfants et la coopération en matière d'adoption internationale (CLaH 93) ne s'applique pas à l'adoption de l'enfant du conjoint. Il sera par conséquent fait application des règles de la Loi fédérale sur le droit international privé (LDIP).</w:t>
      </w:r>
    </w:p>
    <w:p>
      <w:r>
        <w:t>En vertu de l'art. 75 al. 1 LDIP, sont compétentes pour prononcer l'adoption les autorités judiciaires ou administratives suisses du domicile de l'adoptant. Les conditions de l'adoption prononcée en Suisse sont régies par le droit suisse (art. 77 al. 1 LDIP).</w:t>
      </w:r>
    </w:p>
    <w:p>
      <w:r>
        <w:rPr>
          <w:b/>
        </w:rPr>
        <w:t>E. 1.2</w:t>
      </w:r>
    </w:p>
    <w:p>
      <w:r>
        <w:t>Compte tenu du domicile à Genève de l'adoptant et de l'adopté, la Cour de justice est compétente pour examiner la requête d'adoption qui lui est soumise (art. 268 al. 1 CC; art. 120 al. 1 let. c LOJ).</w:t>
      </w:r>
    </w:p>
    <w:p>
      <w:r>
        <w:rPr>
          <w:b/>
        </w:rPr>
        <w:t>E. 2.1</w:t>
      </w:r>
    </w:p>
    <w:p>
      <w:r>
        <w:t>Selon l'art. 264 CC, un enfant mineur peut être adopté si le ou les adoptants lui ont fourni des soins et ont pourvu à son éducation pendant au moins un an et si toutes les circonstances permettent de prévoir que l'établissement d'un lien de filiation servira au bien de l'enfant.</w:t>
      </w:r>
    </w:p>
    <w:p>
      <w:r>
        <w:t>- 4/6 -</w:t>
      </w:r>
    </w:p>
    <w:p>
      <w:r>
        <w:t>C/4235/2020 L'art. 264c al. 1 et 2 CC prévoit par ailleurs qu'une personne peut adopter l'enfant de son conjoint si le couple fait ménage commun depuis au moins trois ans. La différence d'âge entre l'enfant et le ou les adoptants ne peut pas être inférieure à seize ans ni supérieure à quarante-cinq (art. 264d al. 1 CC). L'adoption requiert le consentement du père et de la mère de l'enfant (art. 265a al. 1 CC). Il peut être fait abstraction du consentement d'un des parents lorsqu'il est inconnu, absent depuis longtemps sans résidence connue ou incapable de discernement de manière durable (art. 265c CC). Si l'enfant est capable de discernement, son consentement à l'adoption est requis (art. 265 al. 1 CC).</w:t>
      </w:r>
    </w:p>
    <w:p>
      <w:r>
        <w:rPr>
          <w:b/>
        </w:rPr>
        <w:t>E. 2.2</w:t>
      </w:r>
    </w:p>
    <w:p>
      <w:r>
        <w:t>Dans le cas d'espèce, les conditions au prononcé de l'adoption sont remplies. Le requérant et la mère du mineur concerné sont mariés depuis le ______ 2017 et font ménage commun depuis quatre ans. Le requérant est présent dans le quotidien de l'enfant depuis qu'il a un an et lui prodigue des soins et pourvoit à son éducation. B______ s'épanouit dans la famille qu'il forme avec sa mère, le requérant et le fils commun de ceux-ci, né en ______ 2019. La différence d'âge entre le requérant et l'adopté est de 27 ans. La mère de l'enfant a consenti à l'adoption de son fils aîné par le requérant. Le consentement du père, décédé, ne peut être recueilli, de même que celui de l'adopté et du fils mineur de l'adoptant, compte tenu de leur jeune âge. Il ressort par ailleurs du rapport du Service d'autorisation et de surveillance des lieux de placement du 22 septembre 2020 que le prononcé de l'adoption est conforme à l'intérêt du mineur, sans que cela ne porte préjudice à l'enfant commun du couple, et ne fera qu'entériner juridiquement une situation de fait existante.</w:t>
      </w:r>
    </w:p>
    <w:p>
      <w:r>
        <w:t>Par conséquent l'adoption sollicitée sera prononcée.</w:t>
      </w:r>
    </w:p>
    <w:p>
      <w:r>
        <w:rPr>
          <w:b/>
        </w:rPr>
        <w:t>E. 3.1</w:t>
      </w:r>
    </w:p>
    <w:p>
      <w:r>
        <w:t>L'enfant acquiert le statut juridique d'un enfant du ou des parents adoptifs (art. 267 al. 1 CC). Les liens de filiation ne sont pas rompus à l'égard de la personne avec laquelle le parent adoptif est marié (art. 267 al. 3 ch. 1 CC).</w:t>
      </w:r>
    </w:p>
    <w:p>
      <w:r>
        <w:t>L'enfant de conjoints qui portent des noms différents acquiert celui de leurs deux noms de célibataire qu'ils ont choisi de donner à leurs enfants communs lors de la conclusion du mariage; les parents peuvent toutefois demander conjointement, dans l'année suivant la naissance du premier enfant, que l'enfant prenne le nom de célibataire de l'autre conjoint (art. 270 al. 1 et 2 CC). Si les parents ont été dispensés de faire une telle déclaration ou qu'ils n'en ont pas fait pour une autre raison, ils procéderont à ce choix dans le cadre de la procédure d'adoption (MEIER/STETTLER, Droit de la filiation (2014), n. 654; GRAF-GAISER, FamPra.ch 2013, p. 269).</w:t>
      </w:r>
    </w:p>
    <w:p>
      <w:r>
        <w:t>L'enfant acquiert le droit de cité cantonal et communal du parent dont il porte le nom (art. 271 al. 1 CC).</w:t>
      </w:r>
    </w:p>
    <w:p>
      <w:r>
        <w:t>- 5/6 -</w:t>
      </w:r>
    </w:p>
    <w:p>
      <w:r>
        <w:t>C/4235/2020</w:t>
      </w:r>
    </w:p>
    <w:p>
      <w:r>
        <w:rPr>
          <w:b/>
        </w:rPr>
        <w:t>E. 3.2</w:t>
      </w:r>
    </w:p>
    <w:p>
      <w:r>
        <w:t>Dans le cas d'espèce, le requérant et la mère de l'adopté ont choisi de donner aux enfants issus de leur union le nom de famille de l'épouse. Leur fils commun F______, né en 2019, porte ainsi le nom de famille de A/C______, de sorte que B______ portera également ce nom, ce qui correspond à la volonté du couple, renouvelée lors de l'adoption.</w:t>
      </w:r>
    </w:p>
    <w:p>
      <w:r>
        <w:t>L'adoptant et l'adopté étant de nationalité étrangère, les dispositions sur le droit de cité cantonal et communal ne trouvent pas application en l'espèce.</w:t>
      </w:r>
    </w:p>
    <w:p>
      <w:r>
        <w:rPr>
          <w:b/>
        </w:rPr>
        <w:t>E. 4</w:t>
      </w:r>
    </w:p>
    <w:p>
      <w:r>
        <w:t>Les frais de la procédure en 1'000 fr. seront mis à la charge de l'adoptant et compensés avec l'avance de frais versée qui reste acquise à l'Etat de Genève (art. 111 al. 1 CPC). * * * * *</w:t>
      </w:r>
    </w:p>
    <w:p>
      <w:r>
        <w:t>- 6/6 -</w:t>
      </w:r>
    </w:p>
    <w:p>
      <w:r>
        <w:t>C/4235/2020 PAR CES MOTIFS, La Chambre civile : Prononce l'adoption de B______, né le ______ 2014 à Genève, de nationalités italienne et grecque, par A______, né ______ 1987 à D______ (Italie), de nationalité italienne. Dit que le lien de filiation entre l'adopté et sa mère, C______, née le ______ 1980 à E______ (Italie), de nationalité italienne, n'est pas rompu. Dit que l'adopté conservera le nom de famille A/C______. Arrête les frais de la procédure à 1'000 fr., les met à la charge de A______ et les compense avec l'avance de frais versée qui reste acquise à l'Etat de Genève. Siégeant : Monsieur Cédric-Laurent MICHEL, président; Madame Ursula ZEHETBAUER GHAVAMI et Madame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