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ACJC/1569/2014 vom 19. Dezember 2014</w:t>
      </w:r>
    </w:p>
    <w:p>
      <w:r>
        <w:t>GE Cour de justice, 2014-12-19, FR</w:t>
      </w:r>
    </w:p>
    <w:p>
      <w:r>
        <w:rPr>
          <w:b/>
        </w:rPr>
        <w:t xml:space="preserve">Quelle: </w:t>
      </w:r>
      <w:r>
        <w:t>https://mcp.opencaselaw.ch/entscheid/ge_gerichte_ACJC_1569_2014</w:t>
      </w:r>
    </w:p>
    <w:p>
      <w:r>
        <w:t>FR: GE_GERICHTE ACJC/1569/2014 du 19 décembre 2014</w:t>
      </w:r>
    </w:p>
    <w:p>
      <w:r>
        <w:t>IT: GE_GERICHTE ACJC/1569/2014 del 19 dicembre 2014</w:t>
      </w:r>
    </w:p>
    <w:p>
      <w:pPr>
        <w:pStyle w:val="Heading2"/>
      </w:pPr>
      <w:r>
        <w:t>Erwägungen</w:t>
      </w:r>
    </w:p>
    <w:p>
      <w:r>
        <w:rPr>
          <w:b/>
        </w:rPr>
        <w:t>E. 1</w:t>
      </w:r>
    </w:p>
    <w:p>
      <w:r>
        <w:t>Les parties sollicitent respectivement la modification du jugement rendu sur mesures provisoires par le Tribunal de première instance le 12 mars 2009 et le prononcé de nouvelles mesures provisionnelles et ce alors que la cause est pendante devant la Cour de céans, suite à l'appel formé par A______ contre le jugement au fond du 13 mai 2014. Il convient dès lors de déterminer si la Cour de justice est compétente pour connaître des requêtes formées par les parties et quel est le droit applicable, dans la mesure où la procédure au fond était soumise à l'ancienne loi de procédure civile.</w:t>
      </w:r>
    </w:p>
    <w:p>
      <w:r>
        <w:rPr>
          <w:b/>
        </w:rPr>
        <w:t>E. 1.1</w:t>
      </w:r>
    </w:p>
    <w:p>
      <w:r>
        <w:t>Les procédures qui n'étaient pas encore en cours lors de l'entrée en vigueur du CPC sont en principe soumises au nouveau droit de procédure (art. 404 al. 1 CPC a contrario). Notamment, selon la doctrine (TAPPY, Le droit transitoire applicable lors de l'introduction de la nouvelle procédure civile unifiée, JdT 2010 III1 11, p. 23), "une nouvelle requête, postérieure au 1er janvier 2011, portant sur des</w:t>
      </w:r>
    </w:p>
    <w:p>
      <w:r>
        <w:t>- 10/16 -</w:t>
      </w:r>
    </w:p>
    <w:p>
      <w:r>
        <w:t>C/29405/2008 mesures provisionnelles ayant un (…) caractère indépendant du fond, en particulier des mesures de réglementation dans le cadre d'un divorce, devra (…) être soumise au nouveau droit même si elle tend à faire modifier ou révoquer aux conditions de l'art. 268 al. 1er CPC des mesures provisoires antérieures". Les requêtes présentées par les parties sont dès lors soumises au CPC.</w:t>
      </w:r>
    </w:p>
    <w:p>
      <w:r>
        <w:rPr>
          <w:b/>
        </w:rPr>
        <w:t>E. 1.2</w:t>
      </w:r>
    </w:p>
    <w:p>
      <w:r>
        <w:t>La Cour de céans est compétente pour prononcer des mesures provisionnelles en relation avec les effets du divorce non entrés en force faisant l'objet d'un appel devant elle (art. 276 al. 3 CPC; TAPPY, Les procédures en droit matrimonial, in Procédure civile suisse, Les grands thèmes pour les praticiens, 2010, n.80, p. 268; TAPPY, in CPC, Code de procédure civile commenté, BOHNET/HALDY/JEANDIN/ SCHWEIZER/TAPPY (éd.), 2011, n. 46 et 50 ad. art. 276). Dans le cas d'espèce, la modification des mesures provisoires prononcées en 2009, sollicitée par A______, porte sur la contribution à l'entretien de la famille, point litigieux en appel. Il est par conséquent encore possible de prononcer des mesures provisionnelles sur cet effet accessoire du divorce, de sorte que la requête formée par A______ est recevable. Il en va de même de celle formée par B______, qui porte sur des points qui n'ont pas été réglés par les mesures provisoires prononcées en 2009.</w:t>
      </w:r>
    </w:p>
    <w:p>
      <w:r>
        <w:rPr>
          <w:b/>
        </w:rPr>
        <w:t>E. 1.3</w:t>
      </w:r>
    </w:p>
    <w:p>
      <w:r>
        <w:t>Les mesures provisionnelles prises dans le cadre d'une action en divorce sont soumises à la procédure sommaire (art. 248 let. d, 271 let. a 4 et 276 al. 1 CPC; HOHL, Procédure civile, Tome II, 2ème édition,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w:t>
      </w:r>
    </w:p>
    <w:p>
      <w:r>
        <w:rPr>
          <w:b/>
        </w:rPr>
        <w:t>E. 1.4</w:t>
      </w:r>
    </w:p>
    <w:p>
      <w:r>
        <w:t>La Cour établit les faits d'office (maxime inquisitoire simple; art. 272 et 276 al. 1 CPC) et est liée par les conclusions des parties (maxime de disposition; art. 58 al. 1 CPC), sous réserve des questions relatives aux enfants, qui sont soumises aux maximes inquisitoire illimitée et d'office (art. 296 al. 1 et 3 CPC).</w:t>
      </w:r>
    </w:p>
    <w:p>
      <w:r>
        <w:rPr>
          <w:b/>
        </w:rPr>
        <w:t>E. 2</w:t>
      </w:r>
    </w:p>
    <w:p>
      <w:r>
        <w:t>A______ sollicite que la contribution à l'entretien de la famille, fixée par jugement sur mesures provisoires du 12 mars 2009 à 700'000 fr. par trimestre, soit ramenée à 524'515 fr. par trimestre.</w:t>
      </w:r>
    </w:p>
    <w:p>
      <w:r>
        <w:rPr>
          <w:b/>
        </w:rPr>
        <w:t>E. 2.1</w:t>
      </w:r>
    </w:p>
    <w:p>
      <w:r>
        <w:t>Les mesures provisionnelles ordonnées lors d'une procédure de divorce sont affectées de l'autorité relative de la chose jugée lorsque les voies de recours sont épuisées ou n'ont pas été saisies. Elles produisent leurs effets pour la durée du procès en divorce, tant et aussi longtemps qu'elles n'ont pas été modifiées (ATF 127 III 496).</w:t>
      </w:r>
    </w:p>
    <w:p>
      <w:r>
        <w:t>- 11/16 -</w:t>
      </w:r>
    </w:p>
    <w:p>
      <w:r>
        <w:t>C/29405/2008</w:t>
      </w:r>
    </w:p>
    <w:p>
      <w:r>
        <w:t>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(arrêt du Tribunal fédéral 5A_522/2011 du 18 janvier 2012 c. 4.1).</w:t>
      </w:r>
    </w:p>
    <w:p>
      <w:r>
        <w:rPr>
          <w:b/>
        </w:rPr>
        <w:t>E. 2.2</w:t>
      </w:r>
    </w:p>
    <w:p>
      <w:r>
        <w:t>Dans le cas d'espèce, A______ invoque à l'appui de sa requête la résiliation par B______ du contrat de surveillance qui était en vigueur en 2008 et par conséquent la suppression d'un poste important de son budget.</w:t>
      </w:r>
    </w:p>
    <w:p>
      <w:r>
        <w:t>La Cour relève que ni le jugement rendu sur mesures provisoires, ni les conclusions d'accord déposées par les parties devant le Tribunal de première instance, n'énumèrent les différentes charges de B______ et de D______ prises en considération pour la fixation de la contribution à leur entretien. Les parties ont certes, dans leur échange de correspondance antérieur au dépôt des conclusions d'accord sur mesures provisoires, évoqué les frais de surveillance, ainsi que les frais de voyages et de vacances. Il résulte de cet échange que A______ contestait les chiffres invoqués par son épouse concernant les frais de surveillance, estimant qu'un montant supérieur à 22'000 fr. par mois environ était excessif. Il ressort de la procédure que les parties ont négocié le montant de la contribution d'entretien et sont finalement parvenues à un accord se situant entre le montant initialement réclamé par B______ et celui offert par son époux. Les parties, représentées par des avocats chevronnés, ont fait le choix de convenir d'un montant global, destiné à couvrir l'ensemble des charges de B______ et de D______, sans toutefois chiffrer les différents postes de leur budget.</w:t>
      </w:r>
    </w:p>
    <w:p>
      <w:r>
        <w:t>Par ailleurs, ni les conclusions d'accord, ni le jugement sur mesures provisoires, ne font interdiction à B______ de résilier le contrat de surveillance conclu avec G______ ou d'en modifier la teneur, ni ne la contraignent à affecter un montant déterminé aux frais de protection de D______. Si ces éléments avaient revêtu, pour A______, l'importance qu'il semble leur accorder dans le cadre de la présente procédure, nul doute que ceux-ci auraient été intégrés dans les conclusions d'accord; tel n'a pas été le cas.</w:t>
      </w:r>
    </w:p>
    <w:p>
      <w:r>
        <w:t>Il y a par conséquent lieu de retenir, sous l'angle de la vraisemblance, que les parties, au moment du dépôt de leurs conclusions d'accord sur mesures provisoires, ont simplement voulu prévoir une enveloppe forfaitaire de 700'000 fr. par trimestre, destinée à couvrir la totalité des factures d'entretien de B______ et de D______, sans définir leurs besoins de manière contraignante et notamment leurs besoins en matière de protection et de surveillance.</w:t>
      </w:r>
    </w:p>
    <w:p>
      <w:r>
        <w:t>- 12/16 -</w:t>
      </w:r>
    </w:p>
    <w:p>
      <w:r>
        <w:t>C/29405/2008</w:t>
      </w:r>
    </w:p>
    <w:p>
      <w:r>
        <w:t>Au vu de ce qui précède, A______ ne saurait se prévaloir de la résiliation du contrat conclu en 2008 avec G______ pour réduire la contribution versée à l'entretien de sa famille, dont il n'a par ailleurs pas prétendu qu'elle excéderait ses capacités financières.</w:t>
      </w:r>
    </w:p>
    <w:p>
      <w:r>
        <w:t>La Cour relève en outre que la résiliation du contrat conclu avec G______ n'est pas un fait nouveau, puisqu'elle est intervenue en 2009, ce dont A______ a été informé au mois de juin de la même année, étant précisé qu'il s'est alors contenté des explications fournies par le conseil de son épouse, selon lequel toutes les mesures nécessaires avaient été prises pour assurer la protection de D______, sans toutefois que le moindre document ne vienne confirmer ces allégations. A______ n'a pas remis en cause, à cette époque, les conclusions d'accord prises sur mesures provisoires, ce qui atteste du fait que le maintien du contrat avec G______, voire la conclusion d'un nouveau contrat de même contenu avec une autre agence de protection n'était pas, à ses yeux, un élément essentiel. Il ne saurait par conséquent, de bonne foi, venir prétendre le contraire cinq ans plus tard.</w:t>
      </w:r>
    </w:p>
    <w:p>
      <w:r>
        <w:t>Au vu de ce qui précède, A______ sera débouté de ses conclusions en modification du jugement rendu sur mesures provisoires le 12 mars 2009.</w:t>
      </w:r>
    </w:p>
    <w:p>
      <w:r>
        <w:rPr>
          <w:b/>
        </w:rPr>
        <w:t>E. 3</w:t>
      </w:r>
    </w:p>
    <w:p>
      <w:r>
        <w:t>B______ a conclu quant à elle au versement d'une provisio ad litem de 2'400'000 fr. destinée à couvrir non seulement les frais de la procédure en appel devant la Cour de céans, mais également l'ensemble des procédures connexes en Suisse et à l'étranger, pour une période de deux ans depuis le prononcé du divorce.</w:t>
      </w:r>
    </w:p>
    <w:p>
      <w:r>
        <w:rPr>
          <w:b/>
        </w:rPr>
        <w:t>E. 3.1</w:t>
      </w:r>
    </w:p>
    <w:p>
      <w:r>
        <w:t>Il s'agit d'une mesure provisionnelle au sens de l'art. 276 al. 1 CPC (arrêt du Tribunal fédéral 5A_62/2011 du 26 juillet 2011; HOHL, Procédure civile, tome II 2010, p. 363). L'entretien de la famille au sens des articles 159 et 163 CC inclut le devoir de chaque époux de fournir le cas échéant à son conjoint l'assistance financière nécessaire à la défense de ses intérêts, y compris dans une procédure judiciaire où il figure en qualité de partie (HASENBÖHLER, Commentaire bâlois, 2ème éd., n. 14 ad art. 163). Une provisio ad litem est due à l'époux qui ne dispose pas lui-même des moyens suffisants pour assumer les frais du procès en matière patrimoniale; le juge ne peut imposer cette obligation que dans la mesure où son exécution n'entame pas le minimum nécessaire du conjoint débiteur et des siens (ATF 103 Ia 99 consid. 4; arrêt du Tribunal fédéral 5A_778/2012 du 24 janvier 2013 consid. 6.1). Elle peut être demandée pour couvrir les frais de la procédure qui se poursuit sur certains effets du divorce, même lorsque le prononcé du divorce lui-même est entré en force (TAPPY, Commentaire romand, PICHONNAZ/FOËX (édit.), ad art. 137 n° 18 let. g).</w:t>
      </w:r>
    </w:p>
    <w:p>
      <w:r>
        <w:t>- 13/16 -</w:t>
      </w:r>
    </w:p>
    <w:p>
      <w:r>
        <w:t>C/29405/2008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w:t>
      </w:r>
    </w:p>
    <w:p>
      <w:r>
        <w:rPr>
          <w:b/>
        </w:rPr>
        <w:t>E. 3.2</w:t>
      </w:r>
    </w:p>
    <w:p>
      <w:r>
        <w:t>Dans le cas d'espèce, A______ verse trimestriellement à B______ un montant de 700'000 fr. destiné à couvrir son entretien et celui de leur fille D______. Comme cela a été relevé ci-dessus, il s'agit d'une enveloppe forfaitaire, les postes qu'elle est destinée à couvrir n'ayant été ni détaillés, ni chiffrés. Il ressort certes de l'arrêt du Tribunal fédéral cité ci-dessus que l'octroi d'une provisio ad litem peut se justifier indépendamment du montant de la contribution d'entretien. En l'espèce toutefois, la Cour relève que le montant alloué à B______ sur mesures provisoires est tout particulièrement élevé et qu'elle n'a pas démontré, ni même rendu vraisemblable, qu'elle l'utilise intégralement pour couvrir ses besoins courants et ceux de sa fille. Or, il appartenait à B______ d'établir qu'elle ne dispose pas des moyens suffisants pour assumer les frais de la procédure d'appel, condition indispensable à l'octroi d'une provisio ad litem, étant relevé que la procédure au fond pendante devant la Cour n'a nécessité qu'un double échange d'écritures, celles-ci reprenant pour l'essentiel les arguments déjà développés en première instance; les frais d'appel devraient par conséquent être contenus. La Cour de céans ne saurait par ailleurs allouer une provisio ad litem pour couvrir les frais des procès intentés par B______ à l'étranger, dont ni l'étendue, ni la nécessité ne sont vérifiables. B______ sera par conséquent déboutée de ses conclusions sur ce point.</w:t>
      </w:r>
    </w:p>
    <w:p>
      <w:r>
        <w:rPr>
          <w:b/>
        </w:rPr>
        <w:t>E. 4</w:t>
      </w:r>
    </w:p>
    <w:p>
      <w:r>
        <w:t>B______ a également conclu à ce que A______ soit condamné à régler les factures de maintenance du chantier concernant le domaine de E______ (GE).</w:t>
      </w:r>
    </w:p>
    <w:p>
      <w:r>
        <w:rPr>
          <w:b/>
        </w:rPr>
        <w:t>E. 4.1</w:t>
      </w:r>
    </w:p>
    <w:p>
      <w:r>
        <w:t>La nouvelle réglementation des mesures provisionnelles (art. 276 CPC) a repris celle de l'art. 137 al. 2 CC, abrogé au 1er janvier 2011. Les mesures provisionnelles en cas de divorce suivent en principe les règles applicables aux mesures protectrices de l'union conjugale (art. 276 al. 1 CPC). Contrairement à la solution prévalant pour les mesures protectrices cependant, il n'y a pas de numerus clausus des mesures possibles. Le juge des mesures provisionnelles peut ordonner toutes celles qui lui sembleront adéquates, pourvu qu'elles soient à la fois nécessaires et proportionnées au but recherché (TAPPY, op. cit. ad art. 276 n° 38).</w:t>
      </w:r>
    </w:p>
    <w:p>
      <w:r>
        <w:rPr>
          <w:b/>
        </w:rPr>
        <w:t>E. 4.2</w:t>
      </w:r>
    </w:p>
    <w:p>
      <w:r>
        <w:t>Le jugement rendu sur mesures provisoires le 12 mars 2009 a donné acte à A______ de son engagement de prendre en charge, en sus de la contribution d'entretien de 700'000 fr. par trimestre versée à B______, le paiement des intérêts hypothécaires liés à la propriété de E______ (GE) et les impôts du couple afférents à la vie commune. Selon B______, si les coûts de maintenance du</w:t>
      </w:r>
    </w:p>
    <w:p>
      <w:r>
        <w:t>- 14/16 -</w:t>
      </w:r>
    </w:p>
    <w:p>
      <w:r>
        <w:t>C/29405/2008 chantier n'avaient pas été pris en compte dans le cadre de l'accord sur mesures provisoires, c'était en raison du fait que ledit chantier n'avait été suspendu que postérieurement au jugement du 12 mars 2009. Cet argument n'est toutefois pas convaincant, puisque la poursuite du chantier aurait également engendré des frais, dont la répartition n'avait pas été réglée dans les conclusions d'accord déposées au greffe du Tribunal le 5 mars 2009. Il ressort par ailleurs du préambule aux conclusions d'accord sur mesures provisoires, que le montant que A______ s'engageait à payer devait notamment comprendre "les charges liées à la propriété des biens immobiliers dont les époux sont copropriétaires". Par ailleurs et contrairement à ce qu'a soutenu B______, il ne ressort pas des échanges de correspondance intervenus entre les parties que A______ se serait engagé à prendre en charge l'intégralité des frais en lien avec les parcelles de E______ (GE) pour l'avenir. Au contraire, dans un courrier du 10 juillet 2009, il a précisé s'être vu "contraint de prendre un engagement de payer les factures ouvertes des mandataires (exclusivement) ayant travaillé sur le chantier de E______ (GE)…, l'engagement en question n'étant nullement applicable aux entrepreneurs…". Le fait que par la suite et jusqu'à la fin de l'année 2013 A______ ait effectivement payé les factures relatives au domaine de E______ (GE) ne permet pas de considérer qu'il se serait engagé à continuer de le faire à l'avenir. L'immeuble de E______ (GE) appartient en copropriété aux deux parties, étant précisé que la cession par A______ de sa part à sa fille aînée C______, a été contestée par B______; en l'état, il est vraisemblable que les parties soient encore copropriétaires de ce bien. Celui-ci a été attribué à B______ par le jugement de divorce du 13 mai 2014, attribution remise en cause par A______ en appel. B______ n'a pas établi la nécessité de régler, sur mesures provisoires, la question de la prise en charge des frais de maintenance du chantier de E______ (GE), désormais interrompu depuis plus de cinq ans, lequel ne constitue pas - et pour cause - le domicile familial de la requérante. Cette dernière n'a au demeurant pas établi, ni même rendu vraisemblable, être dans l'impossibilité de s'acquitter personnellement des frais de maintenance du chantier. Ce point du litige sera par conséquent réglé dans le cadre de la procédure au fond, qui attribuera à l'une ou l'autre des parties la propriété des parcelles en cause, tout en tenant compte, le cas échéant, des frais que chacun des ex-époux aura exposés. B______ sera dès lors déboutée de ses conclusions sur ce point également.</w:t>
      </w:r>
    </w:p>
    <w:p>
      <w:r>
        <w:rPr>
          <w:b/>
        </w:rPr>
        <w:t>E. 5</w:t>
      </w:r>
    </w:p>
    <w:p>
      <w:r>
        <w:t>Les frais de la présente procédure seront arrêtés à 10'000 fr. (art. 105 CPC, art. 6 et 31 du Règlement fixant le tarif des frais en matière civile - RTFMC E 1 05.10) et, compte tenu de l'issue du litige, mis à la charge des parties à concurrence de la moitié chacune; ils seront partiellement compensés avec les avances de frais en 2'000 fr. et 2'200 fr. versées par les parties, qui restent acquises à l'Etat.</w:t>
      </w:r>
    </w:p>
    <w:p>
      <w:r>
        <w:t>- 15/16 -</w:t>
      </w:r>
    </w:p>
    <w:p>
      <w:r>
        <w:t>C/29405/2008 A______ sera en conséquence condamné à verser à l'Etat de Genève la somme de 3'000 fr. en complément de son avance de frais et B______ la somme de 2'800 fr. Chaque partie supportera ses propres dépens (art. 107 al. 1 let. c CPC). * * * * *</w:t>
      </w:r>
    </w:p>
    <w:p>
      <w:r>
        <w:t>- 16/16 -</w:t>
      </w:r>
    </w:p>
    <w:p>
      <w:r>
        <w:t>C/29405/2008 PAR CES MOTIFS, La Chambre civile : Statuant sur mesures provisionnelles : Déboute les parties de leurs conclusions. Sur les frais : Arrête les frais de la procédure de mesures provisionnelles à 10'000 fr., les met à la charge des parties à concurrence de la moitié chacune et les compense partiellement avec les avances de frais, qui restent acquises à l'Etat. Condamne A______ à verser à l'Etat de Genève la somme de 3'000 fr. Condamne B______ à verser à l'Etat de Genève la somme de 2'800 fr. Dit que chaque partie supportera ses propres dépens. Siégeant : Monsieur Cédric-Laurent MICHEL, président; Madame Pauline ERARD et Madame Paola CAMPOMAGNANI,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