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ACJC/1564/2011 vom 16. Mai 2011</w:t>
      </w:r>
    </w:p>
    <w:p>
      <w:r>
        <w:t>GE Cour de justice, 2011-05-16, FR</w:t>
      </w:r>
    </w:p>
    <w:p>
      <w:r>
        <w:rPr>
          <w:b/>
        </w:rPr>
        <w:t xml:space="preserve">Quelle: </w:t>
      </w:r>
      <w:r>
        <w:t>https://mcp.opencaselaw.ch/entscheid/ge_gerichte_ACJC_1564_2011</w:t>
      </w:r>
    </w:p>
    <w:p>
      <w:r>
        <w:t>FR: GE_GERICHTE ACJC/1564/2011 du 16 mai 2011</w:t>
      </w:r>
    </w:p>
    <w:p>
      <w:r>
        <w:t>IT: GE_GERICHTE ACJC/1564/2011 del 16 maggio 2011</w:t>
      </w:r>
    </w:p>
    <w:p>
      <w:pPr>
        <w:pStyle w:val="Heading2"/>
      </w:pPr>
      <w:r>
        <w:t>Regeste</w:t>
      </w:r>
    </w:p>
    <w:p>
      <w:r>
        <w:t>Résumé: Indication de la cause de la créance</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régie par le nouveau droit de procédure.</w:t>
      </w:r>
    </w:p>
    <w:p>
      <w:r>
        <w:rPr>
          <w:b/>
        </w:rPr>
        <w:t>E. 2.1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2.2</w:t>
      </w:r>
    </w:p>
    <w:p>
      <w:r>
        <w:t>Interjeté dans le délai et les formes prévus par la loi, le présent recours est recevable.</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w:t>
      </w:r>
    </w:p>
    <w:p>
      <w:r>
        <w:rPr>
          <w:b/>
        </w:rPr>
        <w:t>E. 4</w:t>
      </w:r>
    </w:p>
    <w:p>
      <w:r>
        <w:t>Selon l'art. 326 al. 1 CPC, les conclusions, les allégations de faits et les preuves nouvelles sont irrecevables.</w:t>
      </w:r>
    </w:p>
    <w:p>
      <w:r>
        <w:t>La pièce nouvelle déposée par les intimés est dès lors irrecevable.</w:t>
      </w:r>
    </w:p>
    <w:p>
      <w:r>
        <w:rPr>
          <w:b/>
        </w:rPr>
        <w:t>E. 5.1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w:t>
      </w:r>
    </w:p>
    <w:p>
      <w:r>
        <w:t>- 6/9 -</w:t>
      </w:r>
    </w:p>
    <w:p>
      <w:r>
        <w:t>C/4228/2011 130 III 87 consid. 3.1 et les références citées; JAEGER/WALDER/KULL/ KOTTMANN, Bundesgesetz über Schuldbetreibung und Konkurs, 4ème édition, 1997, n. 10 ad art. 82 LP). L'acte doit également comporter la signature du débiteur ou de son représentant.</w:t>
      </w:r>
    </w:p>
    <w:p>
      <w:r>
        <w:rPr>
          <w:b/>
        </w:rPr>
        <w:t>E. 5.2</w:t>
      </w:r>
    </w:p>
    <w:p>
      <w:r>
        <w:t>Selon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 Néanmoins, il ne s'agit pas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du 21 décembre 2005 dans la cause 5P.149/2005 consid. 2.3). Toute périphrase relative à la cause de la créance, qui permet au poursuivi, conjointement avec les autres indications figurant sur le commandement de payer, de reconnaître la somme déduite en poursuite, doit suffire. Il suffit que la cause de la créance soit exprimée succinctement en vertu du principe de la bonne foi, qui doit aussi être observé dans le droit de l'exécution forcée (ATF 121 III 18 = JT 1997 II 95). Le Tribunal fédéral a estimé que lorsque le commandement de payer ne renseigne pas sur les montants réclamés, sauf leur cause, le débiteur doit être renseigné sur ceux-ci au moins au stade de la procédure de mainlevée (Arrêt du Tribunal fédéral du 21 décembre 2005 dans la cause 5P.149/2005 consid. 2.3.2.). Toutefois, le poursuivi ne doit pas se trouver dans une situation où il ne sait pas exactement ce qui lui est réclamé; lorsque par exemple les montants des arriérés déduits en justice ne correspondent pas au décompte et détails des dettes produits en procédure de mainlevée. Ne sachant pas exactement ce qui lui est réclamé, le débiteur se trouve alors abusivement dans l'obligation de remonter à l'origine du rapport contractuel et de justifier tous les paiements effectués, ce qui est arbitraire (SJ 1988 p. 506 et Arrêt du Tribunal fédéral du 21 décembre 2005 dans la cause 5P.149/2005 consid. 2.3.2).</w:t>
      </w:r>
    </w:p>
    <w:p>
      <w:r>
        <w:rPr>
          <w:b/>
        </w:rPr>
        <w:t>E. 5.3</w:t>
      </w:r>
    </w:p>
    <w:p>
      <w:r>
        <w:t>En l'espèce, les intimés ont requis une poursuite notifiée le 24 janvier 2011 au recourant pour un montant de 46'900 fr. fondé sur le "pacte successoral du 04.11.2001 intérêt moyen". Les intimés n'ont fourni aucun décompte des intérêts hypothécaires dus par le recourant, document qu'ils pouvaient aisément obtenir de la banque auprès de laquelle l'emprunt a été fait. Les intimés n'ont pas non plus indiqué pour quelle période ces intérêts étaient dus, ni les montants versés par le recourant.</w:t>
      </w:r>
    </w:p>
    <w:p>
      <w:r>
        <w:t>- 7/9 -</w:t>
      </w:r>
    </w:p>
    <w:p>
      <w:r>
        <w:t>C/4228/2011 Par ailleurs, aucune pièce relative au contrat de prêt n'a été versée à la procédure, permettant de déterminer le taux applicable.</w:t>
      </w:r>
    </w:p>
    <w:p>
      <w:r>
        <w:t>Force est dès lors de constater que ni le commandement de payer, ni la requête de mainlevée ne renseignent sur le montant réclamé. Les intimés n'ont ainsi pas rendu vraisemblable le montant de la créance. Les pièces produites ne constituent par conséquent pas une reconnaissance de dette. Le jugement, qui retient la solution inverse, consacre ainsi une violation de la loi. Les questions de la titularité de la créance, de l'éventuelle renonciation de la défunte à sa créance ainsi que la validité de celle-là ne seront dès lors pas examinées, ce d'autant qu'elles nécessitent des mesures probatoires, qui ne trouvent pas leur place dans une procédure sommaire.</w:t>
      </w:r>
    </w:p>
    <w:p>
      <w:r>
        <w:rPr>
          <w:b/>
        </w:rPr>
        <w:t>E. 5.4</w:t>
      </w:r>
    </w:p>
    <w:p>
      <w:r>
        <w:t>Le recours sera par conséquent admis et le jugement entrepris sera annulé.</w:t>
      </w:r>
    </w:p>
    <w:p>
      <w:r>
        <w:rPr>
          <w:b/>
        </w:rPr>
        <w:t>E. 6</w:t>
      </w:r>
    </w:p>
    <w:p>
      <w:r>
        <w:t>Les intimés qui succombent seront condamnés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600 fr. et mis à la charge des intimés et compensé avec l'avance de frais faite par le recourant qui reste acquise à l'Etat. Les intimés seront également condamnés aux dépens du recourant assisté d'un conseil devant la Cour, arrêtés à 3'300 fr., débours et TVA compris (art. 96 et 105 al. 2 CPC; art. 85 et 89, 90 du règlement fixant le tarif des greffes en matières civile du 22 décembre 2010, E 1 05.10).</w:t>
      </w:r>
    </w:p>
    <w:p>
      <w:r>
        <w:rPr>
          <w:b/>
        </w:rPr>
        <w:t>E. 7</w:t>
      </w:r>
    </w:p>
    <w:p>
      <w:r>
        <w:t>La valeur litigieuse, au sens de l'art. 51 LTF, est supérieure à 30'000 fr. * * * * *</w:t>
      </w:r>
    </w:p>
    <w:p>
      <w:r>
        <w:t>- 8/9 -</w:t>
      </w:r>
    </w:p>
    <w:p>
      <w:r>
        <w:t>C/4228/2011 PAR CES MOTIFS, La Chambre civile : A la forme : Déclare recevable le recours interjeté par A_______ contre le jugement JTPI/8554/2011 rendu le 16 mai 2011 par le Tribunal de première instance dans la cause C/4228/2011-7 SML. Au fond : Admet le recours. Annule ce jugement. Déboute B_______ et C_______ des fins de leur requête en mainlevée provisoire. Déboute les parties de toutes autres conclusions. Sur les frais : Arrête les frais judiciaires à 600 fr. Les met à la charge de B_______ et C_______ et dit qu'ils sont entièrement compensés par l'avance de frais déjà opérée par A_______. Condamne B_______ et C_______ à verser 600 fr. à A_______. Condamne B_______ et C_______ à verser 3'300 fr. à A_______ à titre de dépens. Déboute les parties de toutes autres conclusions. Siégeant : Monsieur Jean-Marc STRUBIN, président; Madame Sylvie DROIN et Madame Nathalie LANDRY-BARTHE, juges; Madame Fatina SCHAERER, greffier.</w:t>
      </w:r>
    </w:p>
    <w:p>
      <w:r>
        <w:t>Le président : Jean-Marc STRUBIN</w:t>
      </w:r>
    </w:p>
    <w:p>
      <w:r>
        <w:t>Le greffier : Fatina SCHAERER</w:t>
      </w:r>
    </w:p>
    <w:p>
      <w:r>
        <w:t>- 9/9 -</w:t>
      </w:r>
    </w:p>
    <w:p>
      <w:r>
        <w:t>C/4228/2011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