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ACJC/155/2021 vom 8. Februar 2021</w:t>
      </w:r>
    </w:p>
    <w:p>
      <w:r>
        <w:t>GE Cour de justice, 2021-02-08, FR</w:t>
      </w:r>
    </w:p>
    <w:p>
      <w:r>
        <w:rPr>
          <w:b/>
        </w:rPr>
        <w:t xml:space="preserve">Quelle: </w:t>
      </w:r>
      <w:r>
        <w:t>https://mcp.opencaselaw.ch/entscheid/ge_gerichte_ACJC_155_2021</w:t>
      </w:r>
    </w:p>
    <w:p>
      <w:r>
        <w:t>FR: GE_GERICHTE ACJC/155/2021 du 8 février 2021</w:t>
      </w:r>
    </w:p>
    <w:p>
      <w:r>
        <w:t>IT: GE_GERICHTE ACJC/155/2021 del 8 febbraio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voie de l'appel est dès lors ouverte en l'espèce.</w:t>
      </w:r>
    </w:p>
    <w:p>
      <w:r>
        <w:rPr>
          <w:b/>
        </w:rPr>
        <w:t>E. 1.2</w:t>
      </w:r>
    </w:p>
    <w:p>
      <w:r>
        <w:t>Interjeté selon la forme et dans le délai prescrit, l'appel est recevable. Il est rappelé que l'entité juridique dont l'existence juridique ou la capacité d'être partie est remise en cause demeure formellement partie au procès portant sur ces questions et peut former appel (ATF 118 Ia 236 consid. 3a; 99 III 4 consid. 5; arrêt du Tribunal fédéral 5A_194/2011 du 30 mai 2011 consid. 3.2).</w:t>
      </w:r>
    </w:p>
    <w:p>
      <w:r>
        <w:rPr>
          <w:b/>
        </w:rPr>
        <w:t>E. 1.3</w:t>
      </w:r>
    </w:p>
    <w:p>
      <w:r>
        <w:t>A la suite du jugement du Tribunal de première instance du 1er octobre 2020 ordonnant la réinscription de B______ au Registre du commerce, la conclusion préalable de l'appelante en suspension de la procédure jusqu'à droit jugé sur la requête en réinscription est devenue sans objet.</w:t>
      </w:r>
    </w:p>
    <w:p>
      <w:r>
        <w:rPr>
          <w:b/>
        </w:rPr>
        <w:t>E. 1.4</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Selon la jurisprudence, ces conditions sont cumulatives.</w:t>
      </w:r>
    </w:p>
    <w:p>
      <w:r>
        <w:t>En l'espèce, l'appelante a produit devant la Cour des pièces nouvelles, relatives à des faits survenus postérieurement à la date à laquelle le jugement attaqué a été rendu. Ils sont donc recevables.</w:t>
      </w:r>
    </w:p>
    <w:p>
      <w:r>
        <w:rPr>
          <w:b/>
        </w:rPr>
        <w:t>E. 2</w:t>
      </w:r>
    </w:p>
    <w:p>
      <w:r>
        <w:t>L'appelante invoque dans son appel avoir formé une requête afin que l'intimée soit réinscrite au Registre du commerce, laquelle devrait être admise, de sorte que son appel était fondé.</w:t>
      </w:r>
    </w:p>
    <w:p>
      <w:r>
        <w:rPr>
          <w:b/>
        </w:rPr>
        <w:t>E. 2.1.1</w:t>
      </w:r>
    </w:p>
    <w:p>
      <w:r>
        <w:t>La capacité d'être partie est subordonnée soit à la jouissance des droits civils, soit à la qualité de partie en vertu du droit fédéral (art. 66 CPC). L'exercice des droits civils confère la capacité d'ester en justice (art. 67 al. 1 CPC).</w:t>
      </w:r>
    </w:p>
    <w:p>
      <w:r>
        <w:t>- 4/6 -</w:t>
      </w:r>
    </w:p>
    <w:p>
      <w:r>
        <w:t>C/15874/2019 Les personnes morales acquièrent la personnalité en se faisant inscrire au Registre du commerce (art. 52 al. 1 CC). Dès qu'elle acquiert la personnalité, la personne morale jouit des droits civils (art. 53 CC) et se voit attribuer la capacité d'être partie au procès. La radiation d'une personne morale entraîne son défaut de capacité d'être partie, y compris si elle survient en cours de procès (BOHNET, Code de procédure civile, 2ème éd., 2019, n. 77 ad art. 59 CPC).</w:t>
      </w:r>
    </w:p>
    <w:p>
      <w:r>
        <w:rPr>
          <w:b/>
        </w:rPr>
        <w:t>E. 2.1.2</w:t>
      </w:r>
    </w:p>
    <w:p>
      <w:r>
        <w:t>La capacité d'être partie constitue une condition de recevabilité de la demande (art. 59 al. 2 let. c CPC) et, à ce titre, est examinée d'office par le juge (art. 60 CPC). La non réalisation de cette condition aboutira, le cas échéant, à un jugement d'irrecevabilité dépourvu d'autorité de chose jugée (JEANDIN, in Commentaire romand, Code de procédure civile, 2ème éd., 2019, n. 11 ad art. 66 CPC).</w:t>
      </w:r>
    </w:p>
    <w:p>
      <w:r>
        <w:rPr>
          <w:b/>
        </w:rPr>
        <w:t>E. 2.1.3</w:t>
      </w:r>
    </w:p>
    <w:p>
      <w:r>
        <w:t>La réinscription d'une société au Registre du commerce conduit au rétablissement du status quo ante avec un effet ex nunc (GALLI/VISCHER, Wiedereintragung einer im Handelsregister gelöschten Gesellschaft, GesKR 2019 p. 646 s; RÜETSCHI, in SHK- Handelsregisterverordnung (HRegV), 2013, n. 5 ad art. 164 ORC; BILEK/VON DER CRONE, Voraussetzungen und Kognition hinsichtlich der Wiedereintragung einer Gesellschaft, Entscheid des Schweizerischen Bundesgerichts 4A.12/2006 (BGE 132 III 731) vom 19. September 2006, RDS 2007, p. 85). Il n'y a ainsi pas d'effet rétroactif du rétablissement de la personnalité juridique (LORANDI, Löschung einer Gesellschaft im Handelsregister nach Abschluss des Insolvenzverfahrens, PJA 2018, p. 730).</w:t>
      </w:r>
    </w:p>
    <w:p>
      <w:r>
        <w:rPr>
          <w:b/>
        </w:rPr>
        <w:t>E. 2.2</w:t>
      </w:r>
    </w:p>
    <w:p>
      <w:r>
        <w:t>En l'espèce, l'intimée avait été radiée du Registre du commerce lorsque le Tribunal a rendu le jugement attaqué. En déclarant, de ce fait, la demande irrecevable, le Tribunal n'a dès lors pas violé le droit, ce que l'appelante ne conteste d'ailleurs pas. La réinscription de l'intimée au Registre du commerce, postérieurement au jugement attaqué, qui n'a qu'un effet ex nunc, ne change rien au fait qu'au moment où le jugement attaqué a été rendu, l'intimée était radiée. La réinscription postérieure de l'intimée constitue toutefois un fait nouveau recevable, dont il y a lieu de tenir compte. Dès lors, dans la mesure où l'intimée n'est plus, en l'état, radiée du Registre du commerce, elle dispose de la capacité d'être partie. Le jugement attaqué sera ainsi annulé et la cause renvoyée au Tribunal pour instruction de la cause et nouvelle décision.</w:t>
      </w:r>
    </w:p>
    <w:p>
      <w:r>
        <w:rPr>
          <w:b/>
        </w:rPr>
        <w:t>E. 3</w:t>
      </w:r>
    </w:p>
    <w:p>
      <w:r>
        <w:t>A teneur de l'art. 22 al. 1 LaCC, il n'est pas prélevé de frais dans les causes soumises à la juridiction des baux et loyers (ATF 139 III 182 consid. 2.6).</w:t>
      </w:r>
    </w:p>
    <w:p>
      <w:r>
        <w:t>- 5/6 -</w:t>
      </w:r>
    </w:p>
    <w:p>
      <w:r>
        <w:t>C/15874/2019 * * * * *</w:t>
      </w:r>
    </w:p>
    <w:p>
      <w:r>
        <w:t>- 6/6 -</w:t>
      </w:r>
    </w:p>
    <w:p>
      <w:r>
        <w:t>C/15874/2019</w:t>
      </w:r>
    </w:p>
    <w:p>
      <w:r>
        <w:t>PAR CES MOTIFS, La Chambre des baux et loyers : A la forme : Déclare recevable l'appel interjeté le 17 août 2020 par SI A______ SA contre le jugement JTBL/487/2020 rendu le 14 juillet 2020 par le Tribunal des baux et loyers dans la cause C/15874/2019. Au fond : Annule ce jugement et renvoie la cause au Tribunal pour instruction de la cause et nouvelle décision. Dit que la procédure est gratuite. Siégeant : Madame Nathalie LANDRY-BARTHE, présidente; Madame Sylvie DROIN et Monsieur Laurent RIEBEN, juges; Madame Elodie SKOULIKAS et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