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ACJC/155/2020 vom 25. September 2019</w:t>
      </w:r>
    </w:p>
    <w:p>
      <w:r>
        <w:t>GE Cour de justice, 2019-09-25, FR</w:t>
      </w:r>
    </w:p>
    <w:p>
      <w:r>
        <w:rPr>
          <w:b/>
        </w:rPr>
        <w:t xml:space="preserve">Quelle: </w:t>
      </w:r>
      <w:r>
        <w:t>https://mcp.opencaselaw.ch/entscheid/ge_gerichte_ACJC_155_2020</w:t>
      </w:r>
    </w:p>
    <w:p>
      <w:r>
        <w:t>FR: GE_GERICHTE ACJC/155/2020 du 25 septembre 2019</w:t>
      </w:r>
    </w:p>
    <w:p>
      <w:r>
        <w:t>IT: GE_GERICHTE ACJC/155/2020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t>- 4/10 -</w:t>
      </w:r>
    </w:p>
    <w:p>
      <w:r>
        <w:t>C/15151/2018</w:t>
      </w:r>
    </w:p>
    <w:p>
      <w:r>
        <w:rPr>
          <w:b/>
        </w:rPr>
        <w:t>E. 1.2</w:t>
      </w:r>
    </w:p>
    <w:p>
      <w:r>
        <w:t>En l'espèce, l'ordonnance entreprise constitue à la fois une ordonnance d'instruction, en tant qu'elle fixe un délai de réponse à l'intimée, et une décision finale, en tant qu'elle déclare irrecevables les conclusions subsidiaires en baisse de loyer formées par le recourant. En première instance, le recourant a conclu à ce que le loyer soit baissé de 15,25% dès le 1er décembre 2018, soit durant la prolongation du bail, dont l'échéance maximale, de quatre ans, serait le 30 novembre 2022. La valeur litigieuse s'élève ainsi à 6'156 fr. arrondis (10'092 fr. x 15,25% = 1'530 fr. 03 x 4 ans = 6'152 fr. 12).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1.4</w:t>
      </w:r>
    </w:p>
    <w:p>
      <w:r>
        <w:t>Le recours joint est irrecevable (art. 323 CPC). En l'espèce, en tant que l'intimée ne conclut pas principalement au rejet du recours mais qu'elle conclut à ce que la Cour déclare l'irrecevabilité de la conclusion du recourant relative à la prolongation de bail, elle forme un recours joint, irrecevable. Bien que l'intimée conclue également à l'irrecevabilité de la demande de baisse de loyer, elle requiert en réalité la confirmation de l'ordonnance sur ce point.</w:t>
      </w:r>
    </w:p>
    <w:p>
      <w:r>
        <w:rPr>
          <w:b/>
        </w:rPr>
        <w:t>E. 2</w:t>
      </w:r>
    </w:p>
    <w:p>
      <w:r>
        <w:t>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w:t>
      </w:r>
    </w:p>
    <w:p>
      <w:r>
        <w:t>- 5/10 -</w:t>
      </w:r>
    </w:p>
    <w:p>
      <w:r>
        <w:t>C/15151/2018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w:t>
      </w:r>
    </w:p>
    <w:p>
      <w:r>
        <w:t>- 6/10 -</w:t>
      </w:r>
    </w:p>
    <w:p>
      <w:r>
        <w:t>C/15151/2018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w:t>
      </w:r>
    </w:p>
    <w:p>
      <w:r>
        <w:t>- 7/10 -</w:t>
      </w:r>
    </w:p>
    <w:p>
      <w:r>
        <w:t>C/15151/2018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le recourant,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 recourant. Par ailleurs, sa décision ne comporte aucune motivation permettant de comprendre pour quel motif il a décidé de déclarer irrecevable ladite conclusion.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t>- 8/10 -</w:t>
      </w:r>
    </w:p>
    <w:p>
      <w:r>
        <w:t>C/15151/2018</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t>- 9/10 -</w:t>
      </w:r>
    </w:p>
    <w:p>
      <w:r>
        <w:t>C/15151/2018</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C/15151/2018 PAR CES MOTIFS, La Chambre des baux et loyers : A la forme : Déclare recevable le recours interjeté le 7 octobre 2019 par A______ contre l'ordonnance rendue le 25 septembre 2019 par le Tribunal des baux et loyers dans la cause C/15151/2018. Déclare irrecevable l'appel joint formé par B______ le 21 octobre 2019.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