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ACJC/1559/2014 vom 20. Juni 2013</w:t>
      </w:r>
    </w:p>
    <w:p>
      <w:r>
        <w:t>GE Cour de justice, 2013-06-20, FR</w:t>
      </w:r>
    </w:p>
    <w:p>
      <w:r>
        <w:rPr>
          <w:b/>
        </w:rPr>
        <w:t xml:space="preserve">Quelle: </w:t>
      </w:r>
      <w:r>
        <w:t>https://mcp.opencaselaw.ch/entscheid/ge_gerichte_ACJC_1559_2014</w:t>
      </w:r>
    </w:p>
    <w:p>
      <w:r>
        <w:t>FR: GE_GERICHTE ACJC/1559/2014 du 20 juin 2013</w:t>
      </w:r>
    </w:p>
    <w:p>
      <w:r>
        <w:t>IT: GE_GERICHTE ACJC/1559/2014 del 20 giugno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rPr>
          <w:b/>
        </w:rPr>
        <w:t>E. 1.2</w:t>
      </w:r>
    </w:p>
    <w:p>
      <w:r>
        <w:t>La valeur du litige est déterminée par les conclusions (art. 91 al. 1 CPC). Est relevante la situation du litige prévalant au dernier état des conclusions de première instance (art. 308 al. 2 CPC; JEANDIN in CPC, Code de procédure civile commenté, Bâle 2011, n. 13 art. 308 CPC). En l'occurrence, la valeur litigieuse s'élève à 64'560 fr., soit le montant de la pro- vision pour frais accessoires contestée, à savoir 3'228 fr. x 20 (art. 92 al. 2 CPC; arrêt du Tribunal fédéral 4A_298/2011 du 6 juillet 2011 consid. 1).</w:t>
      </w:r>
    </w:p>
    <w:p>
      <w:r>
        <w:rPr>
          <w:b/>
        </w:rPr>
        <w:t>E. 1.3</w:t>
      </w:r>
    </w:p>
    <w:p>
      <w:r>
        <w:t>L'appel, écrit et motivé, doit être introduit dans les trente jours à compter de la notification de la décision contestée (art. 311 al. 1 CPC). Ce délai ne court pas du 15 juillet au 15 août inclus (art. 145 al. 1 let b CPC). En l'espèce, le jugement du Tribunal a été notifié à l'appelante le 28 juin 2013. Le délai d'appel prend ainsi fin le 29 août 2013. L'acte d'appel ayant été déposé au greffe de la Cour le 28 août 2013, il a été interjeté dans le délai et suivant la forme prescrite par la loi (art. 130, 131, 311 al. 1 CPC). Il est ainsi recevable.</w:t>
      </w:r>
    </w:p>
    <w:p>
      <w:r>
        <w:rPr>
          <w:b/>
        </w:rPr>
        <w:t>E. 1.4</w:t>
      </w:r>
    </w:p>
    <w:p>
      <w:r>
        <w:t>La Cour revoit la cause avec un plein pouvoir d'examen (art. 310 CPC; HOHL, Procédure civile, tome II, Berne, 2010, nos 2314 et 2416; RETORNAZ, op. cit., p. 349 ss, n. 121).</w:t>
      </w:r>
    </w:p>
    <w:p>
      <w:r>
        <w:rPr>
          <w:b/>
        </w:rPr>
        <w:t>E. 1.5</w:t>
      </w:r>
    </w:p>
    <w:p>
      <w:r>
        <w:t>Les litiges portant sur des baux d’habitation ou de locaux commerciaux sont soumis, en ce qui concerne la protection contre les loyers abusifs, aux règles de la procédure simplifiée (art. 243 al. 2 let. c CPC). Le Tribunal établit les faits d’office (art. 247 al. 1 let. a CPC).</w:t>
      </w:r>
    </w:p>
    <w:p>
      <w:r>
        <w:t>- 10/23 -</w:t>
      </w:r>
    </w:p>
    <w:p>
      <w:r>
        <w:t>C/5262/2012 Les maximes de procédure qui ont prévalu en première instance s'appliquent éga- lement en appel (VOLKART, DIKE-Komm ZPO, 2011, n. 7 ss ad art. 316 CPC; REETZ/HILBER, Kommentar zum Schweizerischen Zivilprozessordnung, 2ème éd., 2013, n. 16 ad art. 316 CPC).</w:t>
      </w:r>
    </w:p>
    <w:p>
      <w:r>
        <w:rPr>
          <w:b/>
        </w:rPr>
        <w:t>E. 1.6.1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Lorsque la procédure est soumise à la maxime inquisitoire, les faits et moyens de preuve nouveaux peuvent être invoqués jusqu'à l'entrée en délibération de l'ins- tance d'appel (VOLKART, DIKE-Komm ZPO, 2011, n. 17 ad art. 317 CPC; BRUNNER, KuKo ZPO, 2010, n. 8 ad art. 317 CPC; REETZ/HILBER, op. cit., n. 14 ad art. 317 CPC; SPÜHLER, Basler Kommentar, 2ème ed. 2013, n. 7 ad art. 317 CPC; RETORNAZ, op. cit., p. 349 ss, n. 166; CHAIX, L'apport des faits au procès, in Procédure civile suisse, 2010, p. 115 ss, n. 50). Les faits et moyens de preuve nouveaux sont des novas et l'art. 317 al. 1 CPC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 gence ou ont été invoqués de manière imprécise (SPÜHLER, op. cit., n. 1-4 ad art. 317 CPC). Pour faire état de novas improprement dits, il appartient au plaideur de démontrer devant l'instance d'appel qu'il a fait preuve de la diligence requise; il doit ainsi ex- poser précisément les raisons pour lesquelles le moyen de preuve n'a pas été pro- 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w:t>
      </w:r>
    </w:p>
    <w:p>
      <w:r>
        <w:rPr>
          <w:b/>
        </w:rPr>
        <w:t>E. 1.6.2</w:t>
      </w:r>
    </w:p>
    <w:p>
      <w:r>
        <w:t>En l'espèce, l'appelante a produit de nouvelles pièces avec l'acte d'appel du 28 août 2013. Il s'agit de pièces relatives au décompte de chauffage et eau chaude 2011-2012 destinées à démontrer que le poste de frais accessoires "exploitation ventilation" ne se recoupe pas avec les frais de chauffage et d'eau chaude, contrai- rement à ce qu'a retenu le Tribunal. Dès lors que ces pièces ont été produites pour contrer une argumentation juridique inattendue du Tribunal, elles sont recevables en appel.</w:t>
      </w:r>
    </w:p>
    <w:p>
      <w:r>
        <w:rPr>
          <w:b/>
        </w:rPr>
        <w:t>E. 2</w:t>
      </w:r>
    </w:p>
    <w:p>
      <w:r>
        <w:t>La Cour examinera en premier lieu la validité formelle des avis de modification du bail. Elle se prononcera ensuite sur le montant des frais accessoires en ques- tion, afin de vérifier si ceux-ci n'ont pas été sous-évalués et ne provoquent pas une</w:t>
      </w:r>
    </w:p>
    <w:p>
      <w:r>
        <w:t>- 11/23 -</w:t>
      </w:r>
    </w:p>
    <w:p>
      <w:r>
        <w:t>C/5262/2012 augmentation déguisée du loyer. Elle examinera ensuite si la clé de répartition des frais accessoires choisie par la bailleresse est admissible. Enfin, il conviendra de contrôler la validité matérielle des postes de frais accessoires.</w:t>
      </w:r>
    </w:p>
    <w:p>
      <w:r>
        <w:rPr>
          <w:b/>
        </w:rPr>
        <w:t>E. 3.1</w:t>
      </w:r>
    </w:p>
    <w:p>
      <w:r>
        <w:t>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nos 2.4 et 2.5). A défaut de con- vention, ces frais sont compris dans le loyer (ATF 137 III 362 consid. 3.2.1; 121 III 460 consid. 2a/aa). En cours de contrat, le bailleur peut décider de modifier le régime des frais acces- 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nos 3.1 et 3.2). Selon l'art. 269d al. 1 et 2 CO, l'avis de majoration du loyer, avec indication des motifs, doit parvenir au locataire dix jours au moins avant le début du délai de résiliation et être effectué au moyen d'une formule agréée par le canton; la majo- ration de loyer est nulle lorsqu'elle n'est pas notifiée au moyen de la formule offi- cielle, que les motifs ne sont pas indiqués ou qu'elle est assortie d'une résiliation ou d'une menace de résiliation. Ces règles s'appliquent dans la même mesure à la modification unilatérale au détriment du locataire consistant par exemple à fac- turer séparément les frais accessoires précédemment inclus dans le loyer (art. 269d al. 3 CO; ATF 137 III 362 consid. 3.2.1; 121 III 460 consid. 4a). L'art. 19 OBLF exige que la formule destinée à communiquer au locataire la mo- 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w:t>
      </w:r>
    </w:p>
    <w:p>
      <w:r>
        <w:t>- 12/23 -</w:t>
      </w:r>
    </w:p>
    <w:p>
      <w:r>
        <w:t>C/5262/2012 dantes (art. 19 al. 1 let. a ch. 4, 2ème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 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 rement rigoureuses qui sont imposées au bailleur mettent le locataire en mesure de contester le loyer qui lui est annoncé et d’invoquer les règles édictées contre les loyers abusifs (TERCIER/FAVRE, Les contrats spéciaux, 4e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 risches Obligationenrecht, vol. I, 5e éd., p. 24 ss n. 151 ss). La détermination de son sens et de sa portée s'effectue conformément aux principes généraux en ma- tière d'interprétation des manifestations de volonté (KRAMER, Commentaire ber- nois, n. 50 ad art. 18 CO), ce qui vaut également pour l’exigence de clarté. Si les parties ne sont pas d'accord sur le sens à donner aux motifs figurant dans l'avis formel de majoration, il y a lieu d'interpréter ceux-ci selon le principe de la con- 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 c). Lorsque le contenu des motifs n'est pas suf- fisamment clair et précis, renvoyant par exemple à des facteurs de hausse incom- patibles entre eux, il est nul (ATF 121 III 6). Le droit du bail est un domaine juridique empreint de formalisme, dans lequel il convient de se montrer strict en matière de respect des prescriptions de forme. Il</w:t>
      </w:r>
    </w:p>
    <w:p>
      <w:r>
        <w:t>- 13/23 -</w:t>
      </w:r>
    </w:p>
    <w:p>
      <w:r>
        <w:t>C/5262/2012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 fication que s'il a connaissance des montants précédemment dépensés par le bail- leur pour les frais qui seront désormais perçus séparément. L'exigence de préci- sion implique non seulement de désigner en détail quels frais accessoires seront à l'avenir facturés directement au locataire, mais aussi de faire apparaître quelle incidence revêt la distraction des frais sur la structure du loyer. On ne saurait ren- voyer le locataire à consulter les bases de calculs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w:t>
      </w:r>
    </w:p>
    <w:p>
      <w:r>
        <w:rPr>
          <w:b/>
        </w:rPr>
        <w:t>E. 3.2</w:t>
      </w:r>
    </w:p>
    <w:p>
      <w:r>
        <w:t>En l'espèce, dans chacune des formules notifiées à l'intimée, l'appelante a in- diqué le poste de frais accessoires particulier qui sera désormais facturé séparé- ment du loyer. Elle a expliqué également qu’un décompte des dépenses effectives sera établi chaque année, avec un solde annuel (sous déduction des acomptes ver- 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 nuel et mensuel revenant à l'intimée pour le frais accessoire considéré, tout en pré- cisant que : "l'ancien loyer est donc réduit du montant de l'acompte désormais dû séparément". En indiquant qu'elle souhaitait facturer de manière séparée les frais accessoires jusque-là compris dans le loyer et réduire ce dernier du montant de l'acompte dû</w:t>
      </w:r>
    </w:p>
    <w:p>
      <w:r>
        <w:t>- 14/23 -</w:t>
      </w:r>
    </w:p>
    <w:p>
      <w:r>
        <w:t>C/5262/2012 séparément, l'appelante a valablement exposé à l'intimée le motif de la modifi- cation souhaitée. Cette façon de faire correspond à la jurisprudence rappelée ci- dessus. Par ailleurs, l'appelante a également fourni à l'intimée une information relative aux coûts que les frais en question ont générés durant les trois dernières années qui ont précédé la notification.</w:t>
      </w:r>
    </w:p>
    <w:p>
      <w:r>
        <w:rPr>
          <w:b/>
        </w:rPr>
        <w:t>E. 3.3</w:t>
      </w:r>
    </w:p>
    <w:p>
      <w:r>
        <w:t>Selon le Tribunal, les formulaires officiels notifiés par l'appelante ne répondent pas aux exigences de motivation parce qu'elles ne contiennent aucune indication permettant de répondre à la question suivante : "Pourquoi le bailleur a- 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12ème Séminaire sur le droit du bail, Neuchâtel, 2002, p. 23). Or, cette opinion, qui se fonde sur une déci- sion vaudoise, est isolée et n'a pas été reprise par la jurisprudence du Tribunal fédéral. Il importe peu que l'intimée sache que l'appelante souhaite par-là uniformiser la gestion comptable et financière de son parc immobilier dans toute la Suisse, amé- liorer la qualité de ses services aux locataires et inciter ceux-ci à faire des écono- mies. Ces raisons sont irrelevantes dans ce cadre et n’ont pas de portée sur le droit du bailleur de requérir la facturation séparée des frais accessoires, qui est reconnu par la loi (art. 270b al. 2 CO). Admettre le contraire reviendrait à exiger du bail- 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 taire de saisir la portée et la justification de la modification du bail de manière à pouvoir apprécier en pleine connaissance de cause l'opportunité de la contester ou non (ATF 137 III 362 consid. 3.2.1; 121 III 6 consid. 3a). Les informations four- nies par l'appelante dans l'avis officiel lui-même y suffisent, ainsi que cela a été indiqué plus haut. Elles permettent à l'intimée de comprendre précisément que l'appelante souhaite dorénavant facturer les frais accessoires séparément et lui donnent tous les détails lui permettant de comprendre la démarche et d'apprécier la justification de la facturation.</w:t>
      </w:r>
    </w:p>
    <w:p>
      <w:r>
        <w:rPr>
          <w:b/>
        </w:rPr>
        <w:t>E. 3.4</w:t>
      </w:r>
    </w:p>
    <w:p>
      <w:r>
        <w:t>En ce qui concerne la motivation des avis officiels litigieux, reste à examiner si la méthode utilisée par l'appelante, soit de notifier quatorze avis séparés conte-</w:t>
      </w:r>
    </w:p>
    <w:p>
      <w:r>
        <w:t>- 15/23 -</w:t>
      </w:r>
    </w:p>
    <w:p>
      <w:r>
        <w:t>C/5262/2012 nant, pour le premier, une baisse de loyer correspondant à la baisse du taux hypo- thécaire, pour les douze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douze postes différents de frais accessoires à l'intimée. Elle répond, d'autre part, aux contraintes matérielles imposées par la formule offi- cielle type obligatoire, qui ne laisse que peu de place au bailleur pour expliciter les motifs de la modification du bail qu'il requiert. Certes, on aurait pu imaginer une autre méthode. Toutefois, avec un minimum d'attention, il était à la portée de l'intimée de comprendre la portée et la justi- fication des avis officiels, ce d'autant plus que l'avis officiel final récapitule claire- ment l'ensemble de l'opération. Il serait à tout le moins curieux de reprocher à l'appelante son souci de précision et d'exhaustivité, qui présente certes l'inconvénient de soumettre à l'intimée un grand nombre de documents, mais qui lui permet en revanche de disposer de toutes les informations lui permettant de comprendre en détail de quelle manière les frais ac- cessoires ont été calculés et quelle est la répercussion à la baisse sur son loyer de leur facturation séparée. La Cour retiendra en outre le fait que, de bonne foi, l'intimée ne peut pas pré- 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l'intimée à comprendre comment lire les douze avis officiels.</w:t>
      </w:r>
    </w:p>
    <w:p>
      <w:r>
        <w:rPr>
          <w:b/>
        </w:rPr>
        <w:t>E. 3.5</w:t>
      </w:r>
    </w:p>
    <w:p>
      <w:r>
        <w:t>Au vu de ce qui précède, la Cour de céans considère que c'est à tort que le Tribunal a constaté la nullité des avis officiels de majoration de loyers ou d'autres prétentions du bailleur litigieux en raison de leur défaut de motivation.</w:t>
      </w:r>
    </w:p>
    <w:p>
      <w:r>
        <w:rPr>
          <w:b/>
        </w:rPr>
        <w:t>E. 4</w:t>
      </w:r>
    </w:p>
    <w:p>
      <w:r>
        <w:t>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w:t>
      </w:r>
    </w:p>
    <w:p>
      <w:r>
        <w:t>- 16/23 -</w:t>
      </w:r>
    </w:p>
    <w:p>
      <w:r>
        <w:t>C/5262/2012 l'année où le coût était le plus élevé. Enfin, elle a ajouté 5% aux montants ainsi définis. Cette méthode n'est pas critiquable. Elle est même plus favorable que celle pré- 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 tification des prestations correspondantes, que l’appelante a produit les pièces né- cessaires pour les démontrer. C'est donc à tort que le Tribunal a jugé que la facturation séparée de certains pos- tes de frais accessoires était synonyme d'une augmentation de loyer déguisée.</w:t>
      </w:r>
    </w:p>
    <w:p>
      <w:r>
        <w:rPr>
          <w:b/>
        </w:rPr>
        <w:t>E. 5.1</w:t>
      </w:r>
    </w:p>
    <w:p>
      <w:r>
        <w:t>Le Tribunal a par ailleurs estimé que la clé de répartition des nouveaux frais accessoires facturés séparément, soit une répartition en fonction des surfaces des différents locaux, était inéquitable. Il a considéré que la bailleresse aurait dû dis- 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w:t>
      </w:r>
    </w:p>
    <w:p>
      <w:r>
        <w:rPr>
          <w:b/>
        </w:rPr>
        <w:t>E. 5.2</w:t>
      </w:r>
    </w:p>
    <w:p>
      <w:r>
        <w:t>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 cution de grandes réparations de l'immeuble, peuvent à la fois porter sur les loge- ments eux-mêmes et sur les parties communes de l'immeuble, le Tribunal fédéral a admis que le bailleur peut choisir la méthode de répartition des frais entre les lo- cataires, à la pièce, selon le volume des locaux loués (arrêt du Tribunal fédéral 4A_470/2009 du 18 février 2010 in DB 2011, p. 31), au prorata de l'état locatif ou autre. Le juge ne peut s'en écarter que si la méthode retenue est insoutenable (ATF 139 III 209 consid. 2.1).</w:t>
      </w:r>
    </w:p>
    <w:p>
      <w:r>
        <w:t>- 17/23 -</w:t>
      </w:r>
    </w:p>
    <w:p>
      <w:r>
        <w:t>C/5262/2012 Il ne peut ainsi pas être imposé à l'appelante d'appliquer des méthodes de répar- tition des nouveaux frais accessoires selon deux méthodes différentes en fonction de la nature desdits frais. La méthode de répartition retenue par l'appelante sera ainsi admise.</w:t>
      </w:r>
    </w:p>
    <w:p>
      <w:r>
        <w:rPr>
          <w:b/>
        </w:rPr>
        <w:t>E. 6.1</w:t>
      </w:r>
    </w:p>
    <w:p>
      <w:r>
        <w:t>Il reste à examiner la validité matérielle de la facturation séparée des postes de frais accessoires notifiés par l'appelante, soit d'examiner si les frais en question sont des frais accessoires au sens du droit du bail.</w:t>
      </w:r>
    </w:p>
    <w:p>
      <w:r>
        <w:rPr>
          <w:b/>
        </w:rPr>
        <w:t>E. 6.2</w:t>
      </w:r>
    </w:p>
    <w:p>
      <w:r>
        <w:t>Les frais accessoires sont dus pour les prestations fournies par le bailleur ou un tiers en rapport avec l'usage de la chose (art. 257a al. 1 CO). Pour les habita- 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 tisation, de concierge, d'exploitation de l'ascenseur ou les redevances pour le ré- seau de télévision par câble (LACHAT, op. cit., p. 332). Ne sont pas des frais accessoires au sens des art. 257a et 257b CO les frais d'entre- tien de la chose louée elle-même (ATF 105 II 35 consid. 4), de remplacement d'installations défectueuses, de même que les frais d’amélioration ou de réno- vation de l'immeuble. L'art. 6 OBLF le rappelle expressément s'agissant des frais de chauffage et de préparation d'eau chaude (BOHNET/MONTINI, op. cit., n. 13 ad art. 257a-257b CO). S'agissant des frais d'entretien, il convient donc de distinguer entre les frais d'ex- ploitation au sens de l'art. 257b al. 1 CO, qui sont liés à un usage particulier de l'immeuble par les locataires, tels que l'entretien des installations de chauffage, ex- pressément cité par cette disposition, ou de l'ascenseur, d'une part, qui peuvent être facturés séparément aux locataires, et, d'autre part, les frais d'entretien de l'im- meuble lui-même, qui ne peuvent pas être facturés séparément (OBERLE, Nebenkosten-Heizkosten, 2ème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 cernent (LACHAT, op. cit., p. 343).</w:t>
      </w:r>
    </w:p>
    <w:p>
      <w:r>
        <w:rPr>
          <w:b/>
        </w:rPr>
        <w:t>E. 6.3</w:t>
      </w:r>
    </w:p>
    <w:p>
      <w:r>
        <w:t>Le Tribunal a estimé que les frais que la bailleresse entend facturer au titre de frais accessoires "exploitation ventilation" font partie des frais de chauffage et eau</w:t>
      </w:r>
    </w:p>
    <w:p>
      <w:r>
        <w:t>- 18/23 -</w:t>
      </w:r>
    </w:p>
    <w:p>
      <w:r>
        <w:t>C/5262/2012 chaude, qui font déjà l'objet d'une facturation séparée à ce titre-là, et que les admettre reviendrait à accepter que les mêmes frais soient facturés deux fois. Pour ce faire, il se fonde sur l'avenant No 2 que la bailleresse a produit avec la pièce 41.2. Or, il apparaît clairement que cet avenant a été joint par erreur à cette pièce. Il ne s'agit pas d'un avenant au contrat de maintenance de l'installation de ventilation, mais d'un avenant à un autre contrat portant sur l'installation de chauf- fage. Il faut se référer à l'avenant No 1 du 2 juillet 2007, qui porte sur la main- tenance de l'installation de ventilation. Elle produit de plus en appel des pièces nouvelles relatives au décompte de chauf- fage et d'eau chaude de l'exercice 2011-2012 qui démontrent que ceux-ci ne com- prennent effectivement pas de frais relatifs à des prestations de ventilation. Ce sont des charges d'exploitation au sens de l'art. 257b CO, dès lors qu'il s'agit de prestations accessoires à l'entretien de l'immeuble lui-même et qu'elles ne com- portent pas de frais de réparation ou de remplacement. Le coût de cette prestation a été prouvé par l'appelante. Dès lors, l'introduction de ce poste de frais accessoires sera admise.</w:t>
      </w:r>
    </w:p>
    <w:p>
      <w:r>
        <w:rPr>
          <w:b/>
        </w:rPr>
        <w:t>E. 6.4</w:t>
      </w:r>
    </w:p>
    <w:p>
      <w:r>
        <w:t>Le Tribunal a refusé d'admettre le poste de frais accessoires "exploitation porte automatique" au motif que l'appelante n'avait fourni aucune explication ni pièces probantes à ce sujet. Il a considéré par ailleurs que dès lors qu'il n'était pas allégué ni établi que l'intimée soit locataire d'un emplacement de parking dans ledit garage, de tels frais ne pouvaient pas être mis à sa charge. La Cour relève que l'appelante ne conteste pas que l'intimée n'est pas titulaire d'une place de parc dans l'immeuble. Dès lors, cette dernière ne saurait facturer des frais accessoires relatifs à l'exploitation de la porte automatique du parking.</w:t>
      </w:r>
    </w:p>
    <w:p>
      <w:r>
        <w:rPr>
          <w:b/>
        </w:rPr>
        <w:t>E. 6.5</w:t>
      </w:r>
    </w:p>
    <w:p>
      <w:r>
        <w:t>Le Tribunal n’a examiné la validité matérielle de la facturation d'autres frais accessoires que pour les postes "exploitation ventilation" et "exploitation porte automatique". Il a pu s'en dispenser, dans la mesure où il a annulé la totalité des avis officiels en raison d'un défaut de motivation. Or, dès lors que la Cour de céans a admis la validité formelle desdits avis, elle examinera, ci-après, la validité matérielle de chacun d'entre eux.</w:t>
      </w:r>
    </w:p>
    <w:p>
      <w:r>
        <w:rPr>
          <w:b/>
        </w:rPr>
        <w:t>E. 6.5.1</w:t>
      </w:r>
    </w:p>
    <w:p>
      <w:r>
        <w:t>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 duction de ce poste de frais accessoires sera admise.</w:t>
      </w:r>
    </w:p>
    <w:p>
      <w:r>
        <w:t>- 19/23 -</w:t>
      </w:r>
    </w:p>
    <w:p>
      <w:r>
        <w:t>C/5262/2012</w:t>
      </w:r>
    </w:p>
    <w:p>
      <w:r>
        <w:rPr>
          <w:b/>
        </w:rPr>
        <w:t>E. 6.5.2</w:t>
      </w:r>
    </w:p>
    <w:p>
      <w:r>
        <w:t>Exploitation ascenseur Les frais relatifs à l'exploitation de l'ascenseur sont des charges d'exploitation au sens de l'art. 257b CO (LACHAT, op. cit., p. 332). Ils peuvent être facturés séparé- ment aux locataires à condition qu'ils n'incluent pas de réparations ou des réno- vations de l'installation. En l'espèce, les abonnements y relatifs portent sur un service d'entretien simple avec dépannage. Le coût de cette prestation a été prouvé par l'appelante. Dès lors, l'introduction de ce poste de frais accessoires sera admise.</w:t>
      </w:r>
    </w:p>
    <w:p>
      <w:r>
        <w:rPr>
          <w:b/>
        </w:rPr>
        <w:t>E. 6.5.3</w:t>
      </w:r>
    </w:p>
    <w:p>
      <w:r>
        <w:t>Installation sanitaire/canalisation Il découle des pièces produites par l'appelante que le poste "exploitation sani- taire/canalisation" porte sur un abonnement relatif au vidage à la machine de deux fosse-pompes des eaux usées et des eaux claires. Ce sont des charges d'exploi- tation au sens de l'art. 257b CO, dès lors qu'il s'agit de prestations accessoires à l'entretien de l'immeuble lui-même et qu'elles ne comportent pas de frais de répa- ration ou de remplacement. Le coût de cette prestation a été prouvé par l'appelante. Dès lors, l'introduction de ce poste de frais accessoires sera admise.</w:t>
      </w:r>
    </w:p>
    <w:p>
      <w:r>
        <w:rPr>
          <w:b/>
        </w:rPr>
        <w:t>E. 6.5.4</w:t>
      </w:r>
    </w:p>
    <w:p>
      <w:r>
        <w:t>Système de sécurité incendie/autres dégâts Il découle des pièces produites par l'appelante que le poste "système de sécurité incendie/autres dégâts" porte sur le contrat de maintenance des installations. Ce sont des charges d'exploitation au sens de l'art. 257b CO, dès lors qu'il s'agit de prestations accessoires à l'entretien de l'immeuble lui-même et qu'elles ne compor- tent pas de frais de réparation ou de remplacement. Le coût de cette prestation a été prouvé par l'appelante. Dès lors, l'introduction de ce poste de frais accessoires sera admise.</w:t>
      </w:r>
    </w:p>
    <w:p>
      <w:r>
        <w:rPr>
          <w:b/>
        </w:rPr>
        <w:t>E. 6.5.5</w:t>
      </w:r>
    </w:p>
    <w:p>
      <w:r>
        <w:t>Eau, y compris location du compteur d'eau, taxe d'épuration des eaux usées et bornes hydratantes L'eau consommée par l'immeuble, y compris la location du compteur d'eau, peut être facturée séparément au titre de frais accessoires (BOHNET/MONTINI, op. cit., ad. art. 257a-257b CO, N 73). Il en va de même de la taxe d’épuration, dès lors qu'elle est en lien avec l'utilisation de la chose louée (LACHAT, op. cit., p. 332). Le coût global de ces frais ayant été prouvé par l'appelante, l'introduction de ce poste de frais accessoires sera admise.</w:t>
      </w:r>
    </w:p>
    <w:p>
      <w:r>
        <w:rPr>
          <w:b/>
        </w:rPr>
        <w:t>E. 6.5.6</w:t>
      </w:r>
    </w:p>
    <w:p>
      <w:r>
        <w:t>Electricité des installations, éclairages et surfaces/locaux communs y compris les taxes communales, cantonales et fédérales sur l'électricité</w:t>
      </w:r>
    </w:p>
    <w:p>
      <w:r>
        <w:t>- 20/23 -</w:t>
      </w:r>
    </w:p>
    <w:p>
      <w:r>
        <w:t>C/5262/2012 Il en va de même en ce qui concerne les frais d'électricité, qui sont typiquement des frais d'exploitation. Le coût global de ces frais ayant été prouvé par l'appe- lante, l'introduction de ce poste de frais accessoires sera admise.</w:t>
      </w:r>
    </w:p>
    <w:p>
      <w:r>
        <w:rPr>
          <w:b/>
        </w:rPr>
        <w:t>E. 6.5.7</w:t>
      </w:r>
    </w:p>
    <w:p>
      <w:r>
        <w:t>Conciergerie (salaire, charges sociales, assurances, impôt à la source, télé- phone/frais d'entreprise de conciergerie), désinsectisation et produits et matériel de conciergerie L'appelante entend facturer la conciergerie elle-même, la désinsectisation des lo- caux et surfaces communes ainsi que les produits et le matériel de conciergerie de manière séparée. Ces frais entrent dans les autres frais d'exploitation au sens de l'art. 257b CO (LACHAT, op. cit., p. 332; (BOHNET/MONTINI, op. cit., ad. art. 257a-257b CO, N 74 ; RICHARD, op. cit., p. 8). Les pièces produites par l'appelante attestent que les frais concernés ne portent que sur des dépenses qui correspondent à des frais d’exploitation liés à la concier- gerie et à la désinsectisation, à l'exclusion de frais de réparation ou de rénovation de la chose louée qui ne pourraient pas être facturés au titre de frais accessoires. Les coûts avancés par l'appelante ayant été prouvés, l'introduction de ces deux postes de frais accessoires sera admise.</w:t>
      </w:r>
    </w:p>
    <w:p>
      <w:r>
        <w:rPr>
          <w:b/>
        </w:rPr>
        <w:t>E. 6.5.8</w:t>
      </w:r>
    </w:p>
    <w:p>
      <w:r>
        <w:t>Honoraires et frais pour la répartition et l'établissement des décomptes de frais accessoires Enfin, les honoraires et frais pour la répartition et l'établissement des décomptes de frais accessoires peuvent être facturés séparément aux locataires, conformé- ment à l'art. 4 al. 3 OBLF.</w:t>
      </w:r>
    </w:p>
    <w:p>
      <w:r>
        <w:rPr>
          <w:b/>
        </w:rPr>
        <w:t>E. 6.6</w:t>
      </w:r>
    </w:p>
    <w:p>
      <w:r>
        <w:t>Il découle de l'analyse qui précède que l'ensemble des postes de frais acces- soires que l'appelante entend introduire sont admissibles et peuvent être facturés de manière séparée, à l'exclusion du poste "exploitation porte automatique". Dès lors, les frais y relatifs seront retranchés des frais accessoires globaux dorénavant facturés séparément à l'intimée et maintenus dans le loyer.</w:t>
      </w:r>
    </w:p>
    <w:p>
      <w:r>
        <w:rPr>
          <w:b/>
        </w:rPr>
        <w:t>E. 6.7</w:t>
      </w:r>
    </w:p>
    <w:p>
      <w:r>
        <w:t>Le loyer annuel sera ainsi fixé à 27'886 fr. 25 fr. (31'068 fr. - 3'181 fr. 75 de frais accessoires).</w:t>
      </w:r>
    </w:p>
    <w:p>
      <w:r>
        <w:rPr>
          <w:b/>
        </w:rPr>
        <w:t>E. 6.8</w:t>
      </w:r>
    </w:p>
    <w:p>
      <w:r>
        <w:t>Le jugement entrepris sera en conséquence annulé.</w:t>
      </w:r>
    </w:p>
    <w:p>
      <w:r>
        <w:rPr>
          <w:b/>
        </w:rPr>
        <w:t>E. 7</w:t>
      </w:r>
    </w:p>
    <w:p>
      <w:r>
        <w:t>Enfin, il n'y a pas lieu de faire droit à la conclusion de la bailleresse visant à ce qu'il soit dit dans le dispositif du présent arrêt que les frais accessoires sont dus par mois et d'avance. En effet, ces modalités résultent d'ores et déjà de l'art. 1 du contrat-cadre romand.</w:t>
      </w:r>
    </w:p>
    <w:p>
      <w:r>
        <w:rPr>
          <w:b/>
        </w:rPr>
        <w:t>E. 8</w:t>
      </w:r>
    </w:p>
    <w:p>
      <w:r>
        <w:t>A teneur de l'art. 22 al. 1 LaCC, il n'est pas prélevé de frais dans les causes sou- mises à la juridiction des baux et loyers, étant rappelé que l'art. 116 al. 1 CPC</w:t>
      </w:r>
    </w:p>
    <w:p>
      <w:r>
        <w:t>- 21/23 -</w:t>
      </w:r>
    </w:p>
    <w:p>
      <w:r>
        <w:t>C/5262/2012 autorise les cantons à prévoir des dispenses de frais dans d'autres litiges que ceux visés à l'art. 114 CPC (ATF 139 III 182 consid. 2.6). * * * * *</w:t>
      </w:r>
    </w:p>
    <w:p>
      <w:r>
        <w:t>- 22/23 -</w:t>
      </w:r>
    </w:p>
    <w:p>
      <w:r>
        <w:t>C/5262/2012 PAR CES MOTIFS, La Chambre des baux et loyers : A la forme : Déclare recevable l'appel interjeté le 28 août 2013 par A______ contre le jugement JTBL/666/2013 rendu le 20 juin 2013 par le Tribunal des baux et loyers dans la cause C/5262/2012-4-OSL. Au fond : Annule le jugement entrepris. Cela fait et statuant à nouveau : Déclare valable l'ensemble des avis officiels de majoration de loyer ou d'autres modifi- cations du bail notifiés le 10 février 2012 par A______ à B______ pour la facturation séparée de frais accessoires, à l'exception de l'avis portant sur le poste "exploitation porte automatique". Fixe en conséquence le loyer annuel de B______ à 27'886 fr. 25, dès le 1er novembre 2012, pour l'appartement de 5 pièces situé au 3ème étage de l'immeuble sis ______ à Genève, les provisions pour chauffage et eau chaude à 2'460 fr. et les frais accessoires à 3'181 fr. 75, correspondant aux postes suivants : - exploitation du système de retransmission de données; - exploitation ventilation; - exploitation ascenseur; - exploitation installation sanitaire/canalisation; - exploitation du système sécurité incendie/autres dégâts; - désinsectisation des locaux et surfaces communes; - eau, y compris location des compteurs d’eau, taxes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 phone/frais d'entreprise de conciergerie); - honoraires et frais pour la répartition et l'établissement de décomptes de frais accessoires.</w:t>
      </w:r>
    </w:p>
    <w:p>
      <w:r>
        <w:t>- 23/23 -</w:t>
      </w:r>
    </w:p>
    <w:p>
      <w:r>
        <w:t>C/5262/2012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