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ACJC/1558/2015 vom 17. Dezember 2015</w:t>
      </w:r>
    </w:p>
    <w:p>
      <w:r>
        <w:t>GE Cour de justice, 2015-12-17, FR</w:t>
      </w:r>
    </w:p>
    <w:p>
      <w:r>
        <w:rPr>
          <w:b/>
        </w:rPr>
        <w:t xml:space="preserve">Quelle: </w:t>
      </w:r>
      <w:r>
        <w:t>https://mcp.opencaselaw.ch/entscheid/ge_gerichte_ACJC_1558_2015</w:t>
      </w:r>
    </w:p>
    <w:p>
      <w:r>
        <w:t>FR: GE_GERICHTE ACJC/1558/2015 du 17 décembre 2015</w:t>
      </w:r>
    </w:p>
    <w:p>
      <w:r>
        <w:t>IT: GE_GERICHTE ACJC/1558/2015 del 17 dicembre 2015</w:t>
      </w:r>
    </w:p>
    <w:p>
      <w:pPr>
        <w:pStyle w:val="Heading2"/>
      </w:pPr>
      <w:r>
        <w:t>Erwägungen</w:t>
      </w:r>
    </w:p>
    <w:p>
      <w:r>
        <w:rPr>
          <w:b/>
        </w:rPr>
        <w:t>E. 1.1</w:t>
      </w:r>
    </w:p>
    <w:p>
      <w:r>
        <w:t>Dans les affaires patrimoniales, l'appel est recevable si la valeur litigieuse au dernier état des conclusions est de 10'000 fr. au moins (art. 308 al. 2 CPC), étant précisé qu'il s'agit des conclusions de première instance (JEANDIN, Code de procédure civile commenté, Bohnet/Jeandin/Haldy/Schweizer/Tappy [éd.], 2011, n° 13 ad art. 308). Ces conditions valent aussi en procédure de cas clair selon l'art. 257 CPC (HOHL, Procédure civile, tome II, 2010, n° 1684 s.). En l'espèce, la requête de cas clair adressée au Tribunal de première instance le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321 al. 1 CPC). En l'espèce, l'appel est recevable pour avoir été déposé dans les forme et délai prévus par la loi.</w:t>
      </w:r>
    </w:p>
    <w:p>
      <w:r>
        <w:rPr>
          <w:b/>
        </w:rPr>
        <w:t>E. 2</w:t>
      </w:r>
    </w:p>
    <w:p>
      <w:r>
        <w:t>Aux termes de l'art. 317 al. 1 CPC, un fait ou un moyen de preuve nouveau n'est pris en considération au stade de l'appel que s'il est produit sans retard (let. a) et qu'il ne pouvait l'être devant la première instance, bien que la partie qui s'en prévaut ait fait preuve de la diligence requise (let. b). Dans la procédure de cas clair, il n'est pas possible de produire de nouvelles pièces en appel, les exigences posées par l'art. 257 al. 1 CPC devant être satisfaites en première instance déjà. En effet,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Si après un jugement d'irrecevabilité, le demandeur se procure de nouvelles preuves, il peut introduire une nouvelle requête selon l'art. 257 CPC devant le même juge, mais non poursuivre en appel une voie qui ne lui était pas ouverte en première instance (arrêt du Tribunal fédéral 4A_420/2012 consid. 5 = SJ 2013 I 129; 4A_312/2013 du 17 octobre 2013 consid. 3.2). Au vu de ce qui précède, le courrier de l'Office des faillites du 1er octobre 2015 annonçant à l'appelante que l'administration de la faillite "n'entendait pas entrer dans le contrat de bail" est irrecevable.</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w:t>
      </w:r>
    </w:p>
    <w:p>
      <w:r>
        <w:t>- 6/11 -</w:t>
      </w:r>
    </w:p>
    <w:p>
      <w:r>
        <w:t>C/13654/2015 connexité avec la dernière prétention ou, à défaut d'un tel lien, si la partie adverse consent à la modification de la demande.</w:t>
      </w:r>
    </w:p>
    <w:p>
      <w:r>
        <w:rPr>
          <w:b/>
        </w:rPr>
        <w:t>E. 3.2</w:t>
      </w:r>
    </w:p>
    <w:p>
      <w:r>
        <w:t>En l'espèce, pour la première fois en appel l'appelante a conclu à être autorisée à mandater un huissier judiciaire afin de faire exécuter l'évacuation de l'intimée. Faute de motivation sur des faits nouveaux au sens de l'art. 317 al. 2 CPC, les conclusions nouvelles de l'appelante, auxquelles l'intimée s'oppose, sont irrecevables.</w:t>
      </w:r>
    </w:p>
    <w:p>
      <w:r>
        <w:rPr>
          <w:b/>
        </w:rPr>
        <w:t>E. 4</w:t>
      </w:r>
    </w:p>
    <w:p>
      <w:r>
        <w:t>L'intimée conclut préalablement à être entendue par la Cour.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 Dès lors que l'intimée a eu la possibilité de répondre par écrit à l'appel, opportunité qu'elle n'a pas saisie, qu'elle n'indique pas en quoi son audition serait nécessaire à la résolution de la problématique litigieuse et vu l'issue du litige, il ne sera pas donné suite à cette conclusion.</w:t>
      </w:r>
    </w:p>
    <w:p>
      <w:r>
        <w:rPr>
          <w:b/>
        </w:rPr>
        <w:t>E. 5</w:t>
      </w:r>
    </w:p>
    <w:p>
      <w:r>
        <w:t>L'appelante fait grief au Tribunal d'avoir déclaré sa requête en protection de cas clair irrecevable.</w:t>
      </w:r>
    </w:p>
    <w:p>
      <w:r>
        <w:t>5.1.1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 SJ 2013 I 283). Un état de fait est susceptible d'être immédiatement prouvé lorsque les faits peuvent être immédiatement prouvés à l'audience. La preuve se fera essentiellement sur la base de titres (ATF 138 III 123 consid. 2.1.1). Dans le cadre de la protection des cas clairs, la preuve n'est pas facilitée, le demandeur devant ainsi apporter la preuve</w:t>
      </w:r>
    </w:p>
    <w:p>
      <w:r>
        <w:t>- 7/11 -</w:t>
      </w:r>
    </w:p>
    <w:p>
      <w:r>
        <w:t>C/13654/2015 certaine des faits justifiant sa prétention; la simple vraisemblance ne suffit pas (ATF 141 III 23 consid. 3.2; 138 III 620 consid. 5.1.1 = SJ 2013 I 283; arrêt du Tribunal fédéral 5A_768/2012 du 17 mai 2013 consid. 4.2.1).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 sont ainsi strictes (arrêt du Tribunal fédéral 4A_329/2013 du 10 décembre 2013 consid. 4), ce d'autant plus que l'octroi de la protection des cas clairs résulte en une décision avec force de chose jugée (ATF 138 III 620 consid. 5.1.1 = SJ 2013 I 283).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141 III 23 consid. 3.2; 138 III 123 consid. 2.1.2; arrêts du Tribunal fédéral 5A_710/2013 du 17 février 2014 consid. 2.2.2; 5A_768/2012 du 17 mai 2013 consid. 4.2).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En revanche, les objections manifestement mal fondées ou dénuées de pertinence sur lesquelles il peut être statué immédiatement ne suffisent pas à exclure le cas clair et à faire obstacle à un procès rapide (ATF 141 III 23 consid. 3.2; 138 III 620 consid. 5.1.1 et 6.2 = SJ 2013 I 283; arrêts du Tribunal fédéral 4A_252/2014 du 28 mai 2014 consid. 3.2.1; 4A_627/2013 du 8 avril 2014 consid. 2.1). 5.1.2 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w:t>
      </w:r>
    </w:p>
    <w:p>
      <w:r>
        <w:t>- 8/11 -</w:t>
      </w:r>
    </w:p>
    <w:p>
      <w:r>
        <w:t>C/13654/2015 droit réel limité, soit en vertu d'un droit personnel, par exemple un bail (STEINAUER, op. cit., n. 1022). 5.1.3 Le contrat de bail est celui par lequel le bailleur s'oblige à céder l'usage d'une chose au locataire, moyennant un loyer (art. 253 CO). 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 La sous-location est un contrat de bail à part entière, distinct du bail principal, soumis en principe aux règles des art. 253 ss CO (ATF 139 III 353 consid. 212 et la doctrine citée). S'il est vrai que la sous-location constitue un bail en soi distinct du bail principal, il n'en est pas totalement indépendant. Dans un contrat de bail, le bailleur s'engage à céder l'usage de la chose,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(ATF 139 III 353 consid. 212 et la doctrine citée). 5.1.4 La succession répudiée par tous les héritiers légaux du rang le plus proche est liquidée par l'Office de faillites (art. 573 CC). Les effets de l'ouverture de la faillite d'une succession répudiée sont les mêmes que ceux de l'ouverture de n'importe quelle faillite. Or, le droit suisse ne contient aucune disposition générale selon laquelle la faillite met fin automatiquement aux contrats auxquels le failli est partie (arrêt du Tribunal fédéral 4C.252/2005 du</w:t>
      </w:r>
    </w:p>
    <w:p>
      <w:r>
        <w:rPr>
          <w:b/>
        </w:rPr>
        <w:t>E. 5.2</w:t>
      </w:r>
    </w:p>
    <w:p>
      <w:r>
        <w:t>En l'espèce, le contrat litigieux n'a pas pris fin du seul fait de l'ouverture de la faillite et, lors du prononcé du jugement, il n'avait pas été résilié. En effet, l'appelante n'a pas résilié le contrat et la masse successorale ne s'était pas encore exprimée sur la reprise ou non du contrat, ni sur sa résiliation. Par conséquent, l'appelante était toujours liée contractuellement à la masse successorale en faillite. Certes, l'intimée n'était pas personnellement titulaire du bail dès lors qu'elle avait répudié la succession. Toutefois, elle a continué d'occuper l'appartement sans que la masse, titulaire du bail, ne s'y oppose. Ainsi, pourrait se poser la question de l'existence d'un contrat de sous-location tacite entre la masse et l'intimée et des conséquences de celui-ci, étant rappelé qu'au jour du prononcé du jugement l'appelante n'avait pas résilié le bail. En outre, comme l'a retenu à juste titre le premier juge, au jour du jugement il n'était pas encore exclu que l'intimée se retrouve à nouveau titulaire du bail à l'issue de la liquidation de la succession par voie de faillite. Au vu de ce qui précède, l'absence de droit personnel de l'intimée à occuper l'appartement litigieux n'était pas clairement établi. Partant, c'est à bon droit que le premier juge a retenu que les conditions de l'art. 257 al. 1 CPC n'étaient pas réalisées en l'espèce, et a déclaré la requête irrecevable. Le jugement sera donc confirmé.</w:t>
      </w:r>
    </w:p>
    <w:p>
      <w:r>
        <w:rPr>
          <w:b/>
        </w:rPr>
        <w:t>E. 6</w:t>
      </w:r>
    </w:p>
    <w:p>
      <w:r>
        <w:t>février 2006 consid. 4 et les références citées). L'art. 266h CO donne au bailleur le droit d'exiger du locataire qu'il lui fournisse des sûretés pour les loyers à échoir et, à ce défaut, de résilier le contrat avec effet immédiat. Si le bailleur ne fait pas usage de la faculté de résilier, le bail se poursuit avec la masse en faillite (arrêt du Tribunal fédéral 4C.252/2005 précité). La loi ne reconnaît en revanche pas au locataire, respectivement à la masse, la possibilité de résilier le bail en cours au moment de l'ouverture de la faillite. Dans le cas particulier de la liquidation d'une succession répudiée, la jurisprudence cantonale et une partie de la doctrine sont néanmoins d'avis que, selon les circonstances, le droit de résiliation anticipé conféré par l'art. 266i CO aux héritiers du défunt locataire appartient à l'office des faillites si ceux-là répudient la succession (arrêt du Tribunal fédéral 4C.252/2005 précité).</w:t>
      </w:r>
    </w:p>
    <w:p>
      <w:r>
        <w:t>- 9/11 -</w:t>
      </w:r>
    </w:p>
    <w:p>
      <w:r>
        <w:t>C/13654/2015 En cas de faillite, la masse peut choisir de poursuivre elle-même les contrats en cours. La reprise du contrat est une possibilité et non une obligation. Elle peut découler d'actes concluants, par exemple si elle continue d'occuper les locaux malgré la sommation du bailleur de prendre position sur une résiliation du bail (arrêt du Tribunal fédéral 4C.252/2005 précité). Si la masse ne veut pas reprendre le contrat - ce qui n'a pas pour effet de mettre fin au contrat - les loyers qui arrivent à échéance sont alors des dettes dans la masse qui doivent être colloquées (arrêt publié ACJC/433/2008 du 7 avril 2008 consid. 4.1). Le solde de la liquidation de la succession, après paiement des dettes, revient aux ayants droit, comme s'ils n'avaient pas répudié (art. 573 al. 2 CC).</w:t>
      </w:r>
    </w:p>
    <w:p>
      <w:r>
        <w:rPr>
          <w:b/>
        </w:rPr>
        <w:t>E. 6.1</w:t>
      </w:r>
    </w:p>
    <w:p>
      <w:r>
        <w:t>L'appelante qui succombe sera condamnée aux frais de la procédure d'appel (art. 104 al. 1 et 106 al. 1 CPC). Les frais judiciaire d'appel, fixés à 1'000 fr., sont compensés avec l'avance versée par l'appelante, qui reste acquise à l'Etat (art. 111 al. 1 CPC et art. 26 et 35 RTFMC).</w:t>
      </w:r>
    </w:p>
    <w:p>
      <w:r>
        <w:t>- 10/11 -</w:t>
      </w:r>
    </w:p>
    <w:p>
      <w:r>
        <w:t>C/13654/2015</w:t>
      </w:r>
    </w:p>
    <w:p>
      <w:r>
        <w:rPr>
          <w:b/>
        </w:rPr>
        <w:t>E. 6.2</w:t>
      </w:r>
    </w:p>
    <w:p>
      <w:r>
        <w:t>Les frais judiciaires sont fixés et répartis d'office (art. 105 al. 1 CPC). En revanche, les dépens ne sont en principe alloués que si la partie le demande (Message, FF 2006 p. 6908). En l'occurrence, l'intimée a renoncé à répondre et n'a pas conclu à l'octroi de dépens, de sorte qu'il ne lui en sera pas alloué.</w:t>
      </w:r>
    </w:p>
    <w:p>
      <w:r>
        <w:rPr>
          <w:b/>
        </w:rPr>
        <w:t>E. 7</w:t>
      </w:r>
    </w:p>
    <w:p>
      <w:r>
        <w:t>La valeur litigieuse, au sens de l'art. 51 LTF, est supérieure à 30'000 fr. * * * * *</w:t>
      </w:r>
    </w:p>
    <w:p>
      <w:r>
        <w:t>- 11/11 -</w:t>
      </w:r>
    </w:p>
    <w:p>
      <w:r>
        <w:t>C/13654/2015 PAR CES MOTIFS, La Chambre civile : A la forme : Déclare recevable l'appel interjeté le 12 octobre 2015 par LA COOPERATIVE IMMOBILIERE A______ contre le jugement JTPI/11150/2015 rendu le 28 septembre 2015 par le Tribunal de première instance dans la cause C/13654/2015-12 SCC. Au fond : Confirme ce jugement. Déboute les parties de toutes autres conclusions. Sur les frais : Arrête les frais judiciaires d'appel à 1'000 fr., les met à la charge de LA COOPERATIVE IMMOBILIERE A______ et les compense avec l'avance de frais fournie du même montant, qui reste acquise à l'Etat.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