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ACJC/1556/2021 vom 30. November 2021</w:t>
      </w:r>
    </w:p>
    <w:p>
      <w:r>
        <w:t>GE Cour de justice, 2021-11-30, FR</w:t>
      </w:r>
    </w:p>
    <w:p>
      <w:r>
        <w:rPr>
          <w:b/>
        </w:rPr>
        <w:t xml:space="preserve">Quelle: </w:t>
      </w:r>
      <w:r>
        <w:t>https://mcp.opencaselaw.ch/entscheid/ge_gerichte_ACJC_1556_2021</w:t>
      </w:r>
    </w:p>
    <w:p>
      <w:r>
        <w:t>FR: GE_GERICHTE ACJC/1556/2021 du 30 novembre 2021</w:t>
      </w:r>
    </w:p>
    <w:p>
      <w:r>
        <w:t>IT: GE_GERICHTE ACJC/1556/2021 del 30 novembre 2021</w:t>
      </w:r>
    </w:p>
    <w:p>
      <w:pPr>
        <w:pStyle w:val="Heading2"/>
      </w:pPr>
      <w:r>
        <w:t>Erwägungen</w:t>
      </w:r>
    </w:p>
    <w:p>
      <w:r>
        <w:rPr>
          <w:b/>
        </w:rPr>
        <w:t>E. 1.1</w:t>
      </w:r>
    </w:p>
    <w:p>
      <w:r>
        <w:t>S'agissant d'une procédure de mainlevée, seule la voie du recours est ouverte (art. 319 let. a et 309 let. b ch. 3 CPC).</w:t>
      </w:r>
    </w:p>
    <w:p>
      <w:r>
        <w:rPr>
          <w:b/>
        </w:rPr>
        <w:t>E. 1.2</w:t>
      </w:r>
    </w:p>
    <w:p>
      <w:r>
        <w:t>Le recours, écrit et motivé, doit être introduit auprès de l'instance de recours dans les dix jours à compter de la notification de la décision motivée (art. 251 let. a CPC et 321 al. 1 et 2 CPC). En l'espèce, le recours a été interjeté dans le délai et la forme prévus par la loi. Il est ainsi recevable.</w:t>
      </w:r>
    </w:p>
    <w:p>
      <w:r>
        <w:rPr>
          <w:b/>
        </w:rPr>
        <w:t>E. 1.3</w:t>
      </w:r>
    </w:p>
    <w:p>
      <w:r>
        <w:t>Dans le cadre d'un recours, le pouvoir d'examen de la Cour est limité à la violation du droit et à la constatation manifestement inexacte des faits</w:t>
      </w:r>
    </w:p>
    <w:p>
      <w:r>
        <w:t>- 7/13 -</w:t>
      </w:r>
    </w:p>
    <w:p>
      <w:r>
        <w:t>C/5761/2021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1.4</w:t>
      </w:r>
    </w:p>
    <w:p>
      <w:r>
        <w:t>Les maximes des débats et de disposition s'appliquent (art. 55 al. 1, 255 lit. a a contrario et 58 al. 1 CPC).</w:t>
      </w:r>
    </w:p>
    <w:p>
      <w:r>
        <w:rPr>
          <w:b/>
        </w:rPr>
        <w:t>E. 1.5</w:t>
      </w:r>
    </w:p>
    <w:p>
      <w:r>
        <w:t>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(res judicata) quant à l'existence de la créance (ATF 140 III 48 consid. 3; 136 III 583 consid. 2.3; arrêt du Tribunal fédéral 5A_450/2019 du 24 février 2020 consid. 3.1).</w:t>
      </w:r>
    </w:p>
    <w:p>
      <w:r>
        <w:rPr>
          <w:b/>
        </w:rPr>
        <w:t>E. 1.6</w:t>
      </w:r>
    </w:p>
    <w:p>
      <w:r>
        <w:t>Les conclusions, allégations de fait et preuves nouvelles sont irrecevables dans le cadre d'un recours (art. 326 CPC). Les allégués nouveaux (K à O du recours) de la recourante sont par conséquent irrecevables.</w:t>
      </w:r>
    </w:p>
    <w:p>
      <w:r>
        <w:rPr>
          <w:b/>
        </w:rPr>
        <w:t>E. 2</w:t>
      </w:r>
    </w:p>
    <w:p>
      <w:r>
        <w:t>Invoquant une constatation manifestement inexacte des faits, soit arbitraire, la recourante fait grief au premier juge d'avoir considéré que les pièces produites valaient reconnaissance de dette, et partant titre de mainlevée provisoire.</w:t>
      </w:r>
    </w:p>
    <w:p>
      <w:r>
        <w:rPr>
          <w:b/>
        </w:rPr>
        <w:t>E. 2.1</w:t>
      </w:r>
    </w:p>
    <w:p>
      <w:r>
        <w:t>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Code de procédure civile commenté, 2ème éd. 2019, n. 5 ad art. 320 CPC et les références citées).</w:t>
      </w:r>
    </w:p>
    <w:p>
      <w:r>
        <w:t>- 8/13 -</w:t>
      </w:r>
    </w:p>
    <w:p>
      <w:r>
        <w:t>C/5761/2021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w:t>
      </w:r>
    </w:p>
    <w:p>
      <w:r>
        <w:rPr>
          <w:b/>
        </w:rPr>
        <w:t>E. 2.2</w:t>
      </w:r>
    </w:p>
    <w:p>
      <w:r>
        <w:t>En l'espèce, les points discutés par les parties lors de leur réunion du 22 juillet 2020 ne résultent pas des pièces produites, la recourante n'ayant pas signé le procès-verbal de ladite séance. Ces faits ont été rectifiés dans la partie EN FAIT du présent arrêt. Pour le surplus, le Tribunal n'a pas établi les faits de manière manifestement inexacte, les faits sur lesquels se fondent la recourante à cet égard étant irrecevables.</w:t>
      </w:r>
    </w:p>
    <w:p>
      <w:r>
        <w:rPr>
          <w:b/>
        </w:rPr>
        <w:t>E. 3.1</w:t>
      </w:r>
    </w:p>
    <w:p>
      <w:r>
        <w:t>Selon l'art. 82 al. 1 LP, le créancier dont la poursuite se fonde sur une reconnaissance de dette constatée par acte authentique ou sous seing privé peut requérir la mainlevée provisoire. Le juge de la mainlevée provisoire doit vérifier d'office notamment l'existence matérielle d'une reconnaissance de dette (ATF 142 III 720 consid. 4.1 et la référence; 139 III 444 consid. 4.1.1, et les références; arrêts du Tribunal fédéral 5A_940/2020 du 27 janvier 2021 consid. 3.1;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Le poursuivi peut se prévaloir de tous les moyens de droit civil - exceptions ou objections - qui infirment la reconnaissance de dette (ATF 145 III 20 consid. 4.1.2 et la référence; 131 III 268 consid. 3.2). Des moyens comme ceux tirés de la violation de règles impératives prescrites à peine de nullité, ou de l'objet illicite ou contraire aux moeurs d'un contrat, doivent même être soulevés d'office par le juge de la mainlevée (arrêts du Tribunal fédéral 5A_940/2020 précité, ibid; 5A_490/2019 du 19 août 2019 consid. 3.1.2; 5A_303/2013 du 24 septembre 2013 consid. 4.1 i.f.; 5A_878/2011 du 5 mars 2012 consid. 2.2, publié in RNRF 2015 p. 230).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t>- 9/13 -</w:t>
      </w:r>
    </w:p>
    <w:p>
      <w:r>
        <w:t>C/5761/2021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(STUCHELI, Die Rechtsöffnung, 2000, p. 191; STAEHELIN, in Basler Kommentar, Bundesgesetz über Schuldbetreibung und Konkurs, vol. I, 2e éd. 2010, n. 26 ad art. 82 LP). Un contrat écrit justifie en principe la mainlevée provisoire de l'opposition pour la somme d'argent incombant au poursuivi lorsque les conditions d'exigibilité de la dette sont établies (ATF 145 III 20 consid. 4.1.1.;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Ainsi, un contrat de prêt ne constitue pas une reconnaissance de dette pure et simple, mais vaut titre de mainlevée provisoire au sens de l'art. 82 al. 1 LP que si le poursuivant a fourni sa prestation et que le remboursement est exigible (ATF 145 III 20 consid. 4.3.2; 136 III 627 consid. 2; arrêts du Tribunal fédéral 5A_940/2020 précité consid. 3.2.1; 5A_13/2020 du 11 mai 2020 consid. 2.5.1; 5A_446/2018 du 25 mars 2019 consid. 5). Pour justifier le prononcé de la mainlevée, la créance doit être exigible au plus tard au moment de l'introduction de la poursuite (arrêts du Tribunal fédéral 5A_940/2020 précité consid. 3.2.1; 2C_781/2020 du 28 décembre 2020 consid. 5.2). Dans la procédure de mainlevée de l'opposition, il appartient au créancier d'établir l'exigibilité de sa créance (arrêts du Tribunal fédéral 5D_168/2019 du 23 décembre 2019, consid. 3.4.2.1, 5A_1026/2018 du 31 octobre 2019 consid. 3.2.2; 5A_695/2017 du 18 juillet 2018 consid. 3.1; STAEHELIN, op. cit., n. 79 ad art. 92 LP). Celle-ci doit exister déjà au moment de la réquisition de poursuite (ATF 128 III 44 consid. 5a; 84 II 645 consid. 4; arrêt du Tribunal fédéral 5A_954/2015 du 22 mars 2016 consid. 3.1; VEUILLET, La mainlevée de l'opposition, 2017, n. 95 ad art. 82 LP).</w:t>
      </w:r>
    </w:p>
    <w:p>
      <w:r>
        <w:rPr>
          <w:b/>
        </w:rPr>
        <w:t>E. 3.2</w:t>
      </w:r>
    </w:p>
    <w:p>
      <w:r>
        <w:t>Lorsqu'il procède à l'interprétation du titre, le juge de la mainlevée provisoire ne peut prendre en compte que les éléments intrinsèques à ce titre, à l'exclusion</w:t>
      </w:r>
    </w:p>
    <w:p>
      <w:r>
        <w:t>- 10/13 -</w:t>
      </w:r>
    </w:p>
    <w:p>
      <w:r>
        <w:t>C/5761/2021 des éléments extrinsèques qui échappent à son pouvoir d'examen (ATF 145 III 20 consid. 4.3.3; arrêts du Tribunal fédéral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précité consid. 3.2.2; 5A_65/2020 précité consid. 4.2.4; 5A_388/2019 précité consid. 4.1.3; 5A_89/2019 du 1er mai 2019 consid. 5.1.3; STAEHELIN, op. cit., n. 21 ad art. 82 LP). Le juge de la mainlevée n'a pas à trancher de délicates questions de droit matériel ou pour la solution desquelles le pouvoir d'appréciation joue un rôle important, la décision sur de telles questions étant réservée au juge du fond (VEUILLET, op. cit., n. 106 ad art. 84 LP).</w:t>
      </w:r>
    </w:p>
    <w:p>
      <w:r>
        <w:rPr>
          <w:b/>
        </w:rPr>
        <w:t>E. 3.3</w:t>
      </w:r>
    </w:p>
    <w:p>
      <w:r>
        <w:t>Le contrat de fiducie est celui par lequel une personne transfère un droit - propriété d'un bien ou d'une créance - à une autre avec la charge de ne l'exercer qu'à une fin déterminée et de le transférer à la demande du fiduciant, à l'échéance du rapport contractuel ou d'un terme convenu (WERRO, Commentaire Romand, CO I, 2012, n. 34 et 36 ad art. 394 CO). Il y a dation en paiement (datio in solutum), lorsqu'un créancier et un débiteur conviennent d'une prestation différente de celle qui était due, en prévoyant que le débiteur, en fournissant cette prestation, se libère de l'obligation initiale. Il y a dation en vue du paiement (datio solvendi causa) lorsque le créancier reçoit une autre prestation que celle qui était due, afin de la réaliser en vue de se satisfaire et d'imputer la contre-valeur de ce qu'il a reçu sur la dette initiale, qui est éteinte que dans la mesure où le créancier est désintéressé (arrêt du Tribunal fédéral 4A_407/2010 du 17 novembre 2010 consid. 2.2).</w:t>
      </w:r>
    </w:p>
    <w:p>
      <w:r>
        <w:rPr>
          <w:b/>
        </w:rPr>
        <w:t>E. 3.4</w:t>
      </w:r>
    </w:p>
    <w:p>
      <w:r>
        <w:t>En vertu de l'art. 20 al. 1 CO, un contrat est nul s'il a pour objet une chose impossible, illicite ou contraire aux mœurs (art. 20 al. 1 CO). Un contrat est illicite au sens de cette disposition lorsque son objet, sa conclusion avec le contenu proposé ou son but médiat commun est contraire au droit positif suisse, fédéral ou cantonal, plus spécifiquement lorsqu'il contrevient ainsi à la lettre ou au but d'une disposition légale (ATF 134 III 438 consid. 2.2; 119 II 222 consid. 2; arrêts du Tribunal fédéral 4A_113/2020 du 22 avril 2021 consid. 3.3; 4A_263/2019 du 2 décembre 2019 consid. 2.3) Il peut s'agir d’une norme de droit privé – pour autant qu'elle soit impérative ou semi-impérative –, de droit public ou de droit pénal (ATF 134 III 52 consid. 1.1; 117 II 286 consid. 4a).</w:t>
      </w:r>
    </w:p>
    <w:p>
      <w:r>
        <w:t>- 11/13 -</w:t>
      </w:r>
    </w:p>
    <w:p>
      <w:r>
        <w:t>C/5761/2021 Les contrats contraires à une règle de droit ne sont nuls que si cette nullité est expressément prévue par la loi ou qu'elle découle de l'esprit et du but de la norme violée, c'est-à-dire si elle est appropriée à l'importance de l'effet combattu (ATF 143 III 600 consid. 2.8.1 134 III 438 consid. 2.2; 134 III 52 consid. 1.1; 119 II 222 consid. 2). La nullité ne doit pas s'étendre au-delà de ce que requiert le but de protection de la norme violée (ATF 134 III 438 consid. 2.3; arrêt du Tribunal fédéral 4A_502/2012 du 22 janvier 2013 consid. 2.1). S'agissant d'une sanction radicale, avec effet ex tunc, doctrine et jurisprudence en réduisent la portée notamment en ce qui concerne l'objet du contrat, en prenant en compte les intérêts de la partie se trouvant dans la position la moins favorable et aussi de celle n'étant pas destinataire de la norme prohibitive (GUILLOD/STEPHEN, Commentaire romand, CO I, 2012, n. 93 ad art. 19-20 CO; HUGUENIN, Commentaire bâlois, CO I, 2011, n. 55 ad art. 19-20 CO). Il s'agit de ne pas protéger, en déclarant la nullité du contrat, la personne qui profiterait de sa position favorisée, ni celle qui enfreindrait sciemment une norme la concernant directement (ATF 111 II 52; 102 II 401 consid. 2.a; GUILLOD/STEPHEN, op. cit., n. 91 à 95 ad art. 19-20 CO).</w:t>
      </w:r>
    </w:p>
    <w:p>
      <w:r>
        <w:rPr>
          <w:b/>
        </w:rPr>
        <w:t>E. 3.5</w:t>
      </w:r>
    </w:p>
    <w:p>
      <w:r>
        <w:t>Dans le présent cas, il est constant que les parties ont conclu un contrat de prêt et que le montant du prêt a été versé par l'intimée à la recourante. Il n'est pas contesté que les parties se sont également liées par deux contrats dénommés contrats de fiducie, à teneur desquels la recourante s'est engagée à remettre en propriété à l'intimée 6'000 de ses actions. Les parties ont prévu qu'au moment où le prêt serait intégralement remboursé, l'intimée restituerait les actions transférées et qu'en cas de résiliation anticipée, l'intimée pourrait réaliser les actions au prorata du solde du prêt et se payer sur le prix de vente. La recourante soutient que le contrat de prêt serait absolument nul car contraire à des règles impératives de droit public, soit la prise de position du Département de la sécurité, de l'emploi et de la santé sur l'admissibilité de certaines pratiques liant les médecins aux laboratoires d'analyses médicales du 12 février 2019. A son sens, l'intimée, en sa qualité de laboratoire d'analyses médicales spécialisé, savait ne pas être en droit de financer un groupe médical et accorder un prêt à H______ SA destiné à financer ses installations. Aussi, le contrat de prêt conclu entre les parties aurait porté sur un objet illicite. Ce grief n'est pas fondé. Outre qu'il douteux que la prise de position du Département constitue une règle impérative de droit public, la Clinique a été édifiée sur la parcelle acquise à cet effet au moyen d'une partie du prêt et a ouvert, de sorte que l'exercice de son activité a, selon toute vraisemblance, été autorisé par les services compétents.</w:t>
      </w:r>
    </w:p>
    <w:p>
      <w:r>
        <w:t>- 12/13 -</w:t>
      </w:r>
    </w:p>
    <w:p>
      <w:r>
        <w:t>C/5761/2021 La recourante soutient également qu'il convient d'interpréter l'art. 4 des contrats de fiducie selon "le principe de la volonté réelle à savoir ce que voulaient les parties", soit que l'intimée réalise les actions et rétrocède à la recourante le surplus, avant d'intenter des poursuites à son encontre. Le texte desdits contrats ne contient toutefois qu'une possibilité pour l'intimée de vendre les actions, et non une obligation. La vente préalable des actions avant mise en poursuite ne résulte pas non plus du texte du contrat de prêt. Savoir si telle était réellement l'intention des parties relève de l'interprétation objective des trois contrats conclus, laquelle excède le pouvoir d'examen du juge de la mainlevée. Pour le surplus, si les parties étaient certes convenues de ce que le prêt serait remboursé, d'une part, partiellement par la remise d'actions de la Clinique, et, d'autre part, par des amortissements du solde du prêt, soit par un premier versement d'un montant de 10% du solde au 30 décembre 2019 et par la suite, par des versements d'un montant identique (de 10% du solde) pour les neuf années restantes, la recourante n'a ni remis les actions à l'intimée, ni versé la première tranche, de 300'000 fr., tel qu'elle l'avait indiqué dans son courriel du 9 janvier 2020. Par conséquent, le montant de la créance est déterminé et correspond au prêt consenti.</w:t>
      </w:r>
    </w:p>
    <w:p>
      <w:r>
        <w:rPr>
          <w:b/>
        </w:rPr>
        <w:t>E. 3.6</w:t>
      </w:r>
    </w:p>
    <w:p>
      <w:r>
        <w:t>Au vu des éléments qui précèdent, le recours, infondé, sera rejeté.</w:t>
      </w:r>
    </w:p>
    <w:p>
      <w:r>
        <w:rPr>
          <w:b/>
        </w:rPr>
        <w:t>E. 4</w:t>
      </w:r>
    </w:p>
    <w:p>
      <w:r>
        <w:t>La recourante, qui succombe, sera condamnée aux frais judicaires du recours (art. 106 al. 1 CPC), arrêtés à 2'250 fr. (art. 48 et 61 OELP), compensés avec l'avance fournie, qui reste acquise à l'Etat de Genève (art. 111 al. 1 CPC). Les dépens dus à l'intimée seront fixés à 800 fr., débours et TVA inclus (art. 85, 88, 89 et 90 RTFMC). * * * * *</w:t>
      </w:r>
    </w:p>
    <w:p>
      <w:r>
        <w:t>- 13/13 -</w:t>
      </w:r>
    </w:p>
    <w:p>
      <w:r>
        <w:t>C/5761/2021 PAR CES MOTIFS, La Chambre civile : A la forme : Déclare recevable le recours interjeté le 16 août 2021 par A______ SA contre le jugement JTPI/9832/2021 rendu le 3 août 2021 par le Tribunal de première instance dans la cause C/5761/2021–3 SML. Au fond : Le rejette. Déboute les parties de toutes autres conclusions. Sur les frais: Arrête les frais judiciaires du recours à 2'250 fr., compensés avec l'avance de frais fournie, acquise à l'Etat de Genève, et les met à la charge de A______ SA. Condamne A______ SA à verser à B______ AG 800 fr.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