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ACJC/1555/2018 vom 6. Dezember 2018</w:t>
      </w:r>
    </w:p>
    <w:p>
      <w:r>
        <w:t>GE Cour de justice, 2018-12-06, FR</w:t>
      </w:r>
    </w:p>
    <w:p>
      <w:r>
        <w:rPr>
          <w:b/>
        </w:rPr>
        <w:t xml:space="preserve">Quelle: </w:t>
      </w:r>
      <w:r>
        <w:t>https://mcp.opencaselaw.ch/entscheid/ge_gerichte_ACJC_1555_2018</w:t>
      </w:r>
    </w:p>
    <w:p>
      <w:r>
        <w:t>FR: GE_GERICHTE ACJC/1555/2018 du 6 décembre 2018</w:t>
      </w:r>
    </w:p>
    <w:p>
      <w:r>
        <w:t>IT: GE_GERICHTE ACJC/1555/2018 del 6 dicembre 2018</w:t>
      </w:r>
    </w:p>
    <w:p>
      <w:pPr>
        <w:pStyle w:val="Heading2"/>
      </w:pPr>
      <w:r>
        <w:t>Erwägungen</w:t>
      </w:r>
    </w:p>
    <w:p>
      <w:r>
        <w:rPr>
          <w:b/>
        </w:rPr>
        <w:t>E. 1.1</w:t>
      </w:r>
    </w:p>
    <w:p>
      <w:r>
        <w:t>L'appel est recevable contre les jugements de mesures provisionnelles (art. 308 al. 1 let. b CPC), dans les causes non patrimoniales ou dont la valeur litigieuse au dernier état des conclusions devant l'autorité inférieure est supérieure à 10'000 fr. (art. 308 al. 2 CPC). La procédure sommaire étant applicable, le délai d'appel est de 10 jours (art. 314 al. 1 CPC). En l'espèce, l'appel a été formé en temps utile (314 al. 1 CPC) et selon la forme prescrite par la loi (art. 311 al. 1 CPC) et porte sur les contributions dues à l'entretien des enfants et de l'épouse, dont la valeur capitalisée, à teneur des dernières conclusions de première instance, est supérieure à 10'000 fr. (art. 92 CPC). Il est, partant, recevable.</w:t>
      </w:r>
    </w:p>
    <w:p>
      <w:r>
        <w:rPr>
          <w:b/>
        </w:rPr>
        <w:t>E. 1.2</w:t>
      </w:r>
    </w:p>
    <w:p>
      <w:r>
        <w:t>A juste titre, le premier juge a admis sa compétence pour statuer, compte tenu du domicile des époux et des enfants à Genève (art. 59 let. b, 62 al. 1 LDIP). Le droit suisse est applicable (art. 62 al. 2 LDIP, art. 4 de la Convention de la Haye du 2 octobre 1973 sur la loi applicable aux obligations alimentaires).</w:t>
      </w:r>
    </w:p>
    <w:p>
      <w:r>
        <w:rPr>
          <w:b/>
        </w:rPr>
        <w:t>E. 1.3</w:t>
      </w:r>
    </w:p>
    <w:p>
      <w:r>
        <w:t>La Cour revoit la cause avec un plein pouvoir d'examen (art. 310 CPC) et, dans la limite des conclusions prises, elle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w:t>
      </w:r>
    </w:p>
    <w:p>
      <w:r>
        <w:rPr>
          <w:b/>
        </w:rPr>
        <w:t>E. 2</w:t>
      </w:r>
    </w:p>
    <w:p>
      <w:r>
        <w:t>L'appelante conteste la quotité des contributions dues à l'entretien des enfants, faisant valoir que le revenu hypothétique de l'intimé a été sous-évalué, qu'elle- même, contrairement à ce que le premier juge a retenu, est dans l'incapacité de couvrir ses propres charges et que rien ne justifie de refuser que le versement des contributions fixées soit ordonné avec effet rétroactif au 1er décembre 2016.</w:t>
      </w:r>
    </w:p>
    <w:p>
      <w:r>
        <w:rPr>
          <w:b/>
        </w:rPr>
        <w:t>E. 2.1</w:t>
      </w:r>
    </w:p>
    <w:p>
      <w:r>
        <w:t>Selon l'art. 276 CC, auquel renvoie l'art. 176 al. 1 ch. 1 CC applicable durant la procédure de divorce,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w:t>
      </w:r>
    </w:p>
    <w:p>
      <w:r>
        <w:t>- 7/10 -</w:t>
      </w:r>
    </w:p>
    <w:p>
      <w:r>
        <w:t>C/9308/2017 formation et des mesures prises pour le protéger (al. 2). A teneur de la novelle entrée en vigueur le 1er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Comme sous l'ancien droit, la répartition de l'entretien de l'enfant doit être effectuée non seulement en fonction des ressources de chacun des parents, mais également de leur contribution effective aux soins et à l'éducation (art. 286 al. 2 CC). Le calcul de l'éventuelle contribution de prise en charge s'effectue cependant selon la méthode dite des "frais de subsistance" (arrêt du Tribunal fédéral 5A_454/2017 du 17 mai 2018, destiné à la publication, consid. 7.1.2.2). L'obligation d'entretien trouve sa limite dans la capacité contributive du débirentier, en ce sens que le minimum vital de celui-ci doit être préservé (ATF 135 III 66 consid. 1; 123 III 1 consid. 3b/bb et consid. 5 in fine).</w:t>
      </w:r>
    </w:p>
    <w:p>
      <w:r>
        <w:rPr>
          <w:b/>
        </w:rPr>
        <w:t>E. 2.2</w:t>
      </w:r>
    </w:p>
    <w:p>
      <w:r>
        <w:t>Lors de la fixation de la contribution d'entretien, le juge doit en principe tenir compte des revenus effectifs du débirentier. Il peut toutefois lui imputer un revenu hypothétique supérieur à celui obtenu effectivement. Cela présuppose d'une part qu'il puisse raisonnablement être exigé du débirentier qu'il exerce une activité lucrative ou augmente celle-ci, compte tenu, notamment, de sa formation, de son âge et de son état de santé, d'autre part que celui-ci ait la possibilité effective d'exercer l'activité ainsi déterminée et le revenu supposé, compte tenu des circonstances subjectives susmentionnées, ainsi que du marché du travail (arrêt du Tribunal fédéral 5A_940/2015 du 23 février 2016 consid. 6.1). L'imputation d'un revenu hypothétique suppose un délai raisonnable d'adaptation devant tenir compte des intérêts en présence (DE WECK IMMELE, Commentaire pratique, Droit matrimonial, 2016, n° 81 ad art 176 CC).</w:t>
      </w:r>
    </w:p>
    <w:p>
      <w:r>
        <w:rPr>
          <w:b/>
        </w:rPr>
        <w:t>E. 2.3</w:t>
      </w:r>
    </w:p>
    <w:p>
      <w:r>
        <w:t>En l'espèce, le premier juge a affecté à l'entretien des trois enfants du couple l'intégralité du disponible de l'intimé, après avoir imputé à celui-ci un revenu hypothétique de 4'500 fr., légèrement inférieur à celui qu'il réalisait jusqu'en 2012 en travaillant comme moniteur de conduite salarié et compte tenu des charges retenues sur la base des pièces produites. L'appelante fait valoir que l'intimé devrait se voir imputer un revenu mensuel net hypothétique de 10'000 fr. au moins depuis le 1er décembre 2016, au motif qu'il</w:t>
      </w:r>
    </w:p>
    <w:p>
      <w:r>
        <w:t>- 8/10 -</w:t>
      </w:r>
    </w:p>
    <w:p>
      <w:r>
        <w:t>C/9308/2017 aurait réalisé des revenus de l'ordre de 10'000 fr à 15'000 fr. par mois "il y a quelques années à peine", qu'il s'est acquitté du loyer de l'appartement conjugal en 1'666 fr. pendant plusieurs mois, ce qui n'est pas compatible avec le revenu effectif qu'il allègue, qu'il n'est pas concevable qu'il se soit satisfait d'une baisse de salaire importante, enfin qu'il ne justifie pas avoir activement recherché un emploi. Sur le sujet, aucun élément n'est propre à rendre vraisemblable que l'intimé aurait pu réaliser un revenu mensuel net supérieur à 4'500 fr. net postérieurement à 2012, l'avis d'imposition pour 2015 faisant état d'un revenu imposable annuel de 11'000 fr. environ seulement. Le revenu hypothétique de 4'500 fr. par mois, correspond par ailleurs (à 40 fr./h, tarif qui ne fait pas l'objet de contestation) à 27 leçons d'une heure par semaine et l'appelante ne fait pas état d'éléments qui rendraient vraisemblables que l'intimé pourrait en dispenser davantage, compte tenu notamment de son état de santé. En arrêtant à 4'500 fr. net par mois le revenu hypothétique de l'intimé, le premier juge n'a pas excédé son pouvoir d'appréciation en la matière et sa décision sur le sujet sera confirmée. Les charges de l'intimé, conformes aux pièces produites, ne font pour le surplus pas l'objet de contestations, à l'exception des frais de logement, arrêtés par le premier juge à 850 fr. par mois, montant correspondant en chiffres ronds à la moitié du loyer et de la provision pour charges de l'appartement qu'il partage avec sa compagne. La copie du contrat de bail produite par l'intimé, caviardée, fait état d'un loyer mensuel, charges comprises, de 1'787 fr. charges comprises. Les explications de l'intimé, à teneur desquelles il s'agit du bail relatif à l'appartement de sa compagne avec laquelle il fait ménage commun, doivent, au stade la vraisemblance, être tenues pour crédibles et aucun élément ne permet de tenir pour vraisemblable que l'intimé serait logé gratuitement par sa compagne. En partageant le coût du loyer par moitié, le premier juge n'a pas excédé son pouvoir d'appréciation en la matière et sa décision sur le sujet sera confirmée. Les charges des enfants mineurs ne font pour le surplus pas l'objet de contestations. Conformes aux pièces produites, elles seront également confirmées. L'appel étant dépourvu de motivation, en ce qui concerne la fixation de l'entretien convenable des enfants, les chiffres 1 et 2 du dispositif attaqué seront confirmés. Le disponible de l'intimé, soit 1'470 fr., doit être affecté prioritairement à l'entretien des enfants mineurs, ce qui conduit à confirmer le jugement attaqué, en tant qu'il fixe la contribution mensuelle due par l'intimé à respectivement 600 fr., 600 fr. et 270 fr., allocations familiales non comprises. Après versement de ces contributions, l'intimé ne dispose plus d'aucun excédent qui puisse être affecté à l'entretien de l'appelante, ce qui dispense la Cour</w:t>
      </w:r>
    </w:p>
    <w:p>
      <w:r>
        <w:t>- 9/10 -</w:t>
      </w:r>
    </w:p>
    <w:p>
      <w:r>
        <w:t>C/9308/2017 d'examiner les griefs qu'elle formule en relation avec la manière dont le premier juge a établi sa propre situation financière. L'appelante conteste enfin à tort le dies a quo, fixé par le premier juge à la date à laquelle le jugement querellé devient exécutoire. La contribution d'entretien peut être réclamée pour l'avenir et pour l'année qui précède l'ouverture de l'action (art. 279 al. 1 CC), la fixation du dies a quo relevant de l'appréciation du juge (ATF 111 II 103 consid. 4; arrêts du Tribunal fédéral 5A_681/2014 du 14 avril 2015 consid. 4.3; 5P.442/2006 du 8 janvier 2007 consid. 3.2). In casu, l'appelante ne conteste pas que, jusqu'en avril 2017, l'intimé s'est acquitté du loyer de l'appartement conjugal, sa participation aux frais du ménage excédant le montant des contributions fixées par le jugement attaqué. A cela s'ajoutent les autres frais que l'intimé rend vraisemblables avoir exposé en relation avec les enfants. Le revenu effectif réalisé par l'intimé étant insuffisant à la couverture de ses propres charges et un délai suffisant devant lui être accordé pour qu'il prenne les dispositions nécessaires à la réalisation du revenu hypothétique qui lui est imputé, le premier juge n'a pas excédé son pouvoir d'appréciation en fixant le dies a quo au jour de l'entrée en force de l'ordonnance attaquée. Ce qui précède conduit à la confirmation des chiffres 1 à 5 du dispositif entrepris.</w:t>
      </w:r>
    </w:p>
    <w:p>
      <w:r>
        <w:rPr>
          <w:b/>
        </w:rPr>
        <w:t>E. 3</w:t>
      </w:r>
    </w:p>
    <w:p>
      <w:r>
        <w:t>Le renvoi du règlement des frais judiciaires de première instance à la décision au fond, conforme à l'art. 104 al. 3 CPC, peut être confirmé. Il en est de même du règlement relatif aux dépens de première instance, conforme à l'art. 107 al. 1 let. c CPC, vu la nature familiale du litige.</w:t>
      </w:r>
    </w:p>
    <w:p>
      <w:r>
        <w:t>Les frais judiciaires de la procédure d'appel, arrêtés à 1'000 fr., seront mis à la charge de chaque partie par moitié, vu la nature familiale du litige (art. 107 al. 1 let c CPC). Compte tenu de l'assistance juridique dont bénéficient les deux parties, ils seront provisoirement supportés par l'Etat de Genève (art. 122 al. 1 let. b et 123 CPC; art. 19 RAJ, RS-GE E.05.04).</w:t>
      </w:r>
    </w:p>
    <w:p>
      <w:r>
        <w:t>Vu la nature familiale du litige, chaque partie supportera enfin ses propres dépens d'appel (art. 107 al. 1 let. c CPC). * * * * *</w:t>
      </w:r>
    </w:p>
    <w:p>
      <w:r>
        <w:t>- 10/10 -</w:t>
      </w:r>
    </w:p>
    <w:p>
      <w:r>
        <w:t>C/9308/2017 PAR CES MOTIFS, La Chambre civile : A la forme : Déclare recevable l'appel interjeté le 24 mai 2018 par A______ contre les chiffres 1 à 5 du dispositif de l'ordonnance OTPI/268/2018 rendue le 3 mai 2018 par le Tribunal de première instance dans la cause C/9308/2017-13. Au fond : Confirme cette ordonnance. Déboute les parties de toutes autres conclusions. Sur les frais : Arrête les frais judiciaires d'appel à 1'000 fr., les met à la charge de A______ à concurrence de 500 fr. et à la charge de B______ à concurrence de 500 fr. et dit qu'ils sont provisoirement supportés par l'Etat de Genève. Dit que chaque partie supportera ses propres dépens d'appel. Siégeant : Madame Jocelyne DEVILLE-CHAVANNE, présidente; Madame Nathalie LANDRY- BARTHE, juge; Madame Marguerite JACOT-DES-COMBES, juge suppléante;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