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ACJC/1555/2014 vom 17. Dezember 2014</w:t>
      </w:r>
    </w:p>
    <w:p>
      <w:r>
        <w:t>GE Cour de justice, 2014-12-17, FR</w:t>
      </w:r>
    </w:p>
    <w:p>
      <w:r>
        <w:rPr>
          <w:b/>
        </w:rPr>
        <w:t xml:space="preserve">Quelle: </w:t>
      </w:r>
      <w:r>
        <w:t>https://mcp.opencaselaw.ch/entscheid/ge_gerichte_ACJC_1555_2014</w:t>
      </w:r>
    </w:p>
    <w:p>
      <w:r>
        <w:t>FR: GE_GERICHTE ACJC/1555/2014 du 17 décembre 2014</w:t>
      </w:r>
    </w:p>
    <w:p>
      <w:r>
        <w:t>IT: GE_GERICHTE ACJC/1555/2014 del 17 dicembre 2014</w:t>
      </w:r>
    </w:p>
    <w:p>
      <w:pPr>
        <w:pStyle w:val="Heading2"/>
      </w:pPr>
      <w:r>
        <w:t>Regeste</w:t>
      </w:r>
    </w:p>
    <w:p>
      <w:r>
        <w:t>Résumé: MOTIVATION DE L'AVIS OFFICIEL LORSQUE LE BAILLEUR ENTEND FACTURER SÉPARÉMENT DES FRAIS INCLUS DANS LE LOYER JUSQUE-LÀ La motivation de la modification est insuffisante lorsqu'elle n'indique pas à quels frais jusque-là inclus dans le loyer correspondent les frais qui seront désormais facturés séparément;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calculs internes du bailleur, sauf à mé­connaître le sens de l'obligation de motiver. En bref, le locataire doit être en mesure de déterminer si le montant du nouvel acompte correspond à des coûts effectifs, respectivement si le loyer va subir une augmentation. In casu, la Cour a admis la motivation suffisante des avis officiels de modification du contrat qui précisaient les postes de frais accessoires particuliers désormais facturés séparément du loyer alors qu'ils étaient auparavant inclus et le montant de l'acompte annuel et mensuel revenant au locataire. Le bailleur avait également fourni au locataire une information relative aux coûts que les frais en question avaient générés durant les trois dernières années ayant précédé la notification.</w:t>
      </w:r>
    </w:p>
    <w:p>
      <w:pPr>
        <w:pStyle w:val="Heading2"/>
      </w:pPr>
      <w:r>
        <w:t>Volltext</w:t>
      </w:r>
    </w:p>
    <w:p>
      <w:r>
        <w:t>Résumé: MOTIVATION DE L'AVIS OFFICIEL LORSQUE LE BAILLEUR ENTEND FACTURER SÉPARÉMENT DES FRAIS INCLUS DANS LE LOYER JUSQUE-LÀ La motivation de la modification est insuffisante lorsqu'elle n'indique pas à quels frais jusque-là inclus dans le loyer correspondent les frais qui seront désormais facturés séparément;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calculs internes du bailleur, sauf à mé­connaître le sens de l'obligation de motiver. En bref, le locataire doit être en mesure de déterminer si le montant du nouvel acompte correspond à des coûts effectifs, respectivement si le loyer va subir une augmentation. In casu, la Cour a admis la motivation suffisante des avis officiels de modification du contrat qui précisaient les postes de frais accessoires particuliers désormais facturés séparément du loyer alors qu'ils étaient auparavant inclus et le montant de l'acompte annuel et mensuel revenant au locataire. Le bailleur avait également fourni au locataire une information relative aux coûts que les frais en question avaient générés durant les trois dernières années ayant précédé la notification.</w:t>
      </w:r>
    </w:p>
    <w:p>
      <w:r>
        <w:t>Descripteurs: Descripteurs: BAIL À LOYER ; MODIFICATION(EN GÉNÉRAL) ; FORMULE OFFICIELLE ; FORME ET CONTENU ; FRAIS ACCESSOIRES</w:t>
      </w:r>
    </w:p>
    <w:p>
      <w:r>
        <w:t>Normes: Normes: CO.269d; CO.257a; CO.257b; OBLF.19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