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ACJC/1552/2012 vom 14. Dezember 2011</w:t>
      </w:r>
    </w:p>
    <w:p>
      <w:r>
        <w:t>GE Cour de justice, 2011-12-14, FR</w:t>
      </w:r>
    </w:p>
    <w:p>
      <w:r>
        <w:rPr>
          <w:b/>
        </w:rPr>
        <w:t xml:space="preserve">Quelle: </w:t>
      </w:r>
      <w:r>
        <w:t>https://mcp.opencaselaw.ch/entscheid/ge_gerichte_ACJC_1552_2012</w:t>
      </w:r>
    </w:p>
    <w:p>
      <w:r>
        <w:t>FR: GE_GERICHTE ACJC/1552/2012 du 14 décembre 2011</w:t>
      </w:r>
    </w:p>
    <w:p>
      <w:r>
        <w:t>IT: GE_GERICHTE ACJC/1552/2012 del 14 dicembre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w:t>
      </w:r>
    </w:p>
    <w:p>
      <w:r>
        <w:t>En vertu de l’art. 311 al. 1 CPC, l’appel, écrit et motivé, est introduit auprès de l’instance d’appel dans les 30 jours à compter de la notification de la décision motivée ou de la notification postérieure de la motivation.</w:t>
      </w:r>
    </w:p>
    <w:p>
      <w:r>
        <w:t>Il peut être formé pour violation de la loi (art. 310 let. a CPC) ou constatation inexacte des faits (art. 310 let. b CPC).</w:t>
      </w:r>
    </w:p>
    <w:p>
      <w:r>
        <w:t>Les contestations portant sur l'usage d'une chose louée sont de nature pécuniaire (arrêt 4C.310/1996 du 16 avril 1997, publié in SJ 1997 p. 493, consid. 1), de sorte que l'exigence de la valeur litigieuse trouve application in casu.</w:t>
      </w:r>
    </w:p>
    <w:p>
      <w:r>
        <w:t>En l’espèce, vu le loyer annuel de 44'400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ATF 119 II 147), celle-ci est largement supérieure à 10'000 fr.</w:t>
      </w:r>
    </w:p>
    <w:p>
      <w:r>
        <w:t>Les autres conditions de recevabilité rappelées ci-dessus sont par ailleurs manifestement réunies.</w:t>
      </w:r>
    </w:p>
    <w:p>
      <w:r>
        <w:t>Dès lors, l’appel est recevable.</w:t>
      </w:r>
    </w:p>
    <w:p>
      <w:r>
        <w:t>Il en va de même du mémoire de réponse (art. 312 CPC).</w:t>
      </w:r>
    </w:p>
    <w:p>
      <w:r>
        <w:rPr>
          <w:b/>
        </w:rPr>
        <w:t>E. 3</w:t>
      </w:r>
    </w:p>
    <w:p>
      <w:r>
        <w:t>Saisie d’un appel, la Cour de justice revoit la cause avec un pouvoir de cognition complet, c’est-à-dire tant en fait qu’en droit. Elle n’est nullement liée par l’appréciation des faits à laquelle s’est livré le juge de première instance (CPC Commenté – Nicolas JEANDIN, n. 6 ad art. 310, CPC).</w:t>
      </w:r>
    </w:p>
    <w:p>
      <w:r>
        <w:t>Les faits et moyens de preuve nouveaux ne sont pris en compte qu’aux conditions de l’art. 317 al. 1 CPC, à savoir s’ils sont invoqués ou produits sans retard (let. a) et s'ils ne pouvaient être invoqués ou produits devant la première instance bien</w:t>
      </w:r>
    </w:p>
    <w:p>
      <w:r>
        <w:t>- 6/10 -</w:t>
      </w:r>
    </w:p>
    <w:p>
      <w:r>
        <w:t>C/28176/2009 que la partie qui s’en prévaut ait fait preuve de la diligence requise (let. b), cette seconde condition ne s’appliquant qu’aux faits et moyens de preuve qui existaient déjà lors de la fixation de l’objet du litige devant la première instance (art. 229 CPC; CPC Commenté – Nicolas JEANDIN, n. 8 ad art. 317, CPC).</w:t>
      </w:r>
    </w:p>
    <w:p>
      <w:r>
        <w:t>La rigueur de ces principes peut cependant être atténuée à l’égard de la partie négligente lorsque la procédure est gouvernée par la maxime inquisitoire (art. 55 al. 2 CPC) et/ou par la maxime d’office (art. 58 al. 2 CPC). Cela vaut en particulier pour la deuxième condition relative aux faux novas (faits et moyens de preuve qui existaient déjà lors de la fixation de l’objet du litige en première instance) et pour la prise de conclusions nouvelles (CPC Commenté – Nicolas JEANDIN, n. 4 ad art. 317, CPC).</w:t>
      </w:r>
    </w:p>
    <w:p>
      <w:r>
        <w:t>Cela étant, il ne se justifie pas en l’espèce d’atténuer, à l’égard des parties, la rigueur des principes résultant de l’art. 317 al. 1 CPC, pour ce qui concerne les faits et moyens de preuve nouveaux (unechte novas), tant il est vrai que ceux-ci étaient déjà en leur possession lors de la procédure de première instance et qu’elles n’apportent aucun élément justifiant leurs omissions.</w:t>
      </w:r>
    </w:p>
    <w:p>
      <w:r>
        <w:t>En effet, la maxime inquisitoire, telle qu’elle était prévue par l’art. 274d al. 3 aCO, et reprise par le Code de procédure civile entré en vigueur le 1er janvier 2011, a été adoptée pour tenir compte du nombre important de cas dans lesquels les plaideurs sans connaissance juridique comparaissent en personne. Ce principe ne doit toutefois pas être compris comme un commode oreiller de paresse autorisant les parties à rejeter sur les épaules du juge l’ensemble des devoirs procéduraux leur incombant (ACJ/878/2003).</w:t>
      </w:r>
    </w:p>
    <w:p>
      <w:r>
        <w:t>En application de la maxime inquisitoire, le juge doit interroger les parties et les informer de leur devoir de collaboration et de production des preuves, enfin s’assurer que les allégations et offres de preuves sont complètes s’il a des motifs objectifs d’éprouver des doutes sur ce point. Son obligation ne va toutefois pas au- delà de l’invitation faite aux parties de mentionner les preuves et de les présenter (ATF 125 III 231).</w:t>
      </w:r>
    </w:p>
    <w:p>
      <w:r>
        <w:t>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 (ACJ/284/2000).</w:t>
      </w:r>
    </w:p>
    <w:p>
      <w:r>
        <w:t>Les parties, toutes deux assistées d’un avocat, ne sauraient s’appuyer sur la maxime inquisitoire sociale pour excuser l’absence d’allégation et de production de preuves s’agissant de faits qu’elles jugent elles-mêmes pertinents à l’issue du litige.</w:t>
      </w:r>
    </w:p>
    <w:p>
      <w:r>
        <w:t>- 7/10 -</w:t>
      </w:r>
    </w:p>
    <w:p>
      <w:r>
        <w:t>C/28176/2009</w:t>
      </w:r>
    </w:p>
    <w:p>
      <w:r>
        <w:t>Dès lors, tant la pièce produite sous let. D du chargé des appelants et les pièces 1, 2 et 8 à 24 du chargé de l’intimé – qui sont nouvelles –, que les faits auxquels elles se rapportent, seront déclarés irrecevables, étant relevé que les pièces 6 et 7 du chargé de l’intimé, bien que nouvelles, constituent des faits notoires (ATF 4A_645/2011), et sont donc recevables.</w:t>
      </w:r>
    </w:p>
    <w:p>
      <w:r>
        <w:rPr>
          <w:b/>
        </w:rPr>
        <w:t>E. 4.1</w:t>
      </w:r>
    </w:p>
    <w:p>
      <w:r>
        <w:t>En vertu de l’art. 271 CO, le congé est annulable lorsqu’il contrevient aux règles de la bonne foi. Selon la jurisprudence du Tribunal fédéral, la protection accordée par cette disposition procède à la fois du principe de la bonne foi (art. 2 al. 1 CC) et de l’interdiction de l’abus de droit (art. 2 al. 2 CC), tant il est vrai qu’une distinction rigoureuse ne se justifie pas en cette matière (ATF 120 II 31 consid. 4a; ATF 120 II 105 consid. 3). Il n’est toutefois pas nécessaire que l’attitude de l’auteur du congé puisse être qualifiée d’abus de droit «manifeste» au sens de l’art. 2 al. 2 CC (ATF 120 II 105; ATF 4C.170/2004).</w:t>
      </w:r>
    </w:p>
    <w:p>
      <w:r>
        <w:t>Ainsi, le congé doit être considéré comme abusif s’il ne répond à aucun intérêt objectif, sérieux et digne de protection. Est abusif le congé purement chicanier dont le motif n’est manifestement qu’un prétexte (ATF 4A_297/2010).</w:t>
      </w:r>
    </w:p>
    <w:p>
      <w:r>
        <w:t>Le but de la loi est uniquement de protéger le locataire contre des résiliations abusives ; un congé n'est pas contraire aux règles de la bonne foi du simple fait que l'intérêt du locataire au maintien du bail paraît plus important que celui du bailleur à ce qu'il prenne fin (arrêt 4A_414/2009), mais pour autant qu'il n'existe pas une disproportion manifeste des intérêts en présence (David LACHAT, Le bail à loyer, 2008, p. 735 s.).</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ATF 120 II 105).</w:t>
      </w:r>
    </w:p>
    <w:p>
      <w:r>
        <w:rPr>
          <w:b/>
        </w:rPr>
        <w:t>E. 4.2</w:t>
      </w:r>
    </w:p>
    <w:p>
      <w:r>
        <w:t>L’art. 9 du règlement du 20 février 2007 relatif aux plan d’utilisation du sol de la Ville de Genève (RPUS; LC 21 211), entré en vigueur le 18 mars 2008, prévoit que «les surfaces au rez-de-chaussée, lorsqu’elles donnent sur des lieux de passage ouverts au public, doivent être affectées ou rester affectées, pour la nette majorité de chaque surface, à des activités accessibles au public en matière de commerce, d’artisanat ou d’équipements sociaux ou culturels à l’exclusion des locaux fermés au public (al. 1)»; «par locaux fermés au public, on entend des locaux inoccupés par des personnes ou occupés essentiellement par des travailleurs de l’entreprise ou accessibles à une clientèle reçue dans des conditions de confidentialité, notamment cabinets médicaux, bureau d’avocats, notaires, fiduciaires, experts-comptables, agents immobiliers, etc» (al. 3).</w:t>
      </w:r>
    </w:p>
    <w:p>
      <w:r>
        <w:t>- 8/10 -</w:t>
      </w:r>
    </w:p>
    <w:p>
      <w:r>
        <w:t>C/28176/2009</w:t>
      </w:r>
    </w:p>
    <w:p>
      <w:r>
        <w:t>Appelé à statuer sur la constitutionnalité de cet article relativement à l’activité d’une régie immobilière, le Tribunal fédéral a relevé qu’il laisse une place suffisamment large à l’appréciation et ne prohibe pas systématiquement l’implantation, au rez-de-chaussée des lieux de passage ouverts au public, d’entreprises actives dans l’immobilier, de sorte qu’il ne porte pas une atteinte disproportionnée à la garantie de la propriété et à la liberté économique des propriétaires et agents immobiliers concernés (SJ 2010 I p. 310 ss).</w:t>
      </w:r>
    </w:p>
    <w:p>
      <w:r>
        <w:rPr>
          <w:b/>
        </w:rPr>
        <w:t>E. 4.3</w:t>
      </w:r>
    </w:p>
    <w:p>
      <w:r>
        <w:t>Il en découle que la demande d’autorisation de construire, visant à transformer l’arcade litigieuse et celle directement au-dessus en agence immobilière, nécessaire à la réalisation du motif du congé, ne devrait pas être écartée sans autre examen par l’autorité compétente.</w:t>
      </w:r>
    </w:p>
    <w:p>
      <w:r>
        <w:t>Celle-ci sera en effet amenée à vérifier la conformité de la destination des locaux, compte tenu du projet qui sera présenté et du type d’activité envisagé, en termes notamment d’accessibilité au public, par rapport aux exigences de l’art. 9 RPUS, interprété à la lumière de la jurisprudence du Tribunal fédéral susmentionnée.</w:t>
      </w:r>
    </w:p>
    <w:p>
      <w:r>
        <w:t>La Cour ne saurait ainsi, dans le cadre du présent litige, considérer d’emblée que l’autorisation devrait être refusée, pour le cas où elle viendrait à être effectivement demandée, comme le soutiennent les appelants.</w:t>
      </w:r>
    </w:p>
    <w:p>
      <w:r>
        <w:t>Cela étant, au vu du type d’activité exercée par ces derniers, soit en particulier l’achat, la vente et le courtage immobilier, de même que la gestion immobilière, il n’apparaît en tous cas pas évident que l’autorisation leur serait accordée, loin s’en faut.</w:t>
      </w:r>
    </w:p>
    <w:p>
      <w:r>
        <w:t>Leur activité implique en effet un accès restreint au public, comme en témoigne le fait que, jusqu’alors, ils ont pu exercer celle-ci à leur domicile. Ils n’ont du reste pas allégué dans la présente procédure que cette absence de visibilité et de locaux ouverts au public aurait nuit à la bonne marche de leurs affaires, expliquant plutôt qu’ils étaient amenés à travailler en grande partie «sur le terrain». Leur activité apparaît dès lors se limiter principalement à du travail de bureau et à des rendez- vous à l’extérieur.</w:t>
      </w:r>
    </w:p>
    <w:p>
      <w:r>
        <w:t>Au vu de ce qui précède, la Cour retiendra que l’intimé a établi de manière suffisante la probabilité non négligeable que l’autorisation de transformer les locaux litigieux – et ceux du dessus – en agence immobilière serait refusée par l’autorité compétente, si la demande devait finalement être déposée.</w:t>
      </w:r>
    </w:p>
    <w:p>
      <w:r>
        <w:t>En notifiant le congé à leur locataire, en dépit de l’incertitude qui subsiste quant à la faisabilité de leur projet et en se dispensant malgré tout d’entamer les démarches administratives qui auraient, cas échéant, permis de lever cette incertitude, les appelants ont agi de manière contraire à la bonne foi.</w:t>
      </w:r>
    </w:p>
    <w:p>
      <w:r>
        <w:t>- 9/10 -</w:t>
      </w:r>
    </w:p>
    <w:p>
      <w:r>
        <w:t>C/28176/2009</w:t>
      </w:r>
    </w:p>
    <w:p>
      <w:r>
        <w:t>La Cour relèvera de surcroit que l’absence de toute autre démarche concrète, notamment la réalisation de plans d’architecte portant sur la réunion des locaux litigieux avec ceux du dessus, de même que le fait que les appelants soient les deux associés gérant de la société «J______ Sàrl», notamment active dans la restauration, traiteur, tea-room, boulangerie, pâtisserie et glacier, laisse planer un doute – également non négligeable – quant à la réalité du motif allégué.</w:t>
      </w:r>
    </w:p>
    <w:p>
      <w:r>
        <w:t>Au vu de ce qui précède, c’est à bon droit que le Tribunal des baux et loyers a annulé le congé du 5 octobre 2009. L'appel se révèle infondé et le jugement entrepris sera confirmé.</w:t>
      </w:r>
    </w:p>
    <w:p>
      <w:r>
        <w:rPr>
          <w:b/>
        </w:rPr>
        <w:t>E. 5</w:t>
      </w:r>
    </w:p>
    <w:p>
      <w:r>
        <w:t>La procédure est gratuite, en ce sens qu’il n’est pas perçu de frais judiciaire ou de dépens (art.17 al. 1 LaCC; art. 95 al. 1 CPC). * * * * *</w:t>
      </w:r>
    </w:p>
    <w:p>
      <w:r>
        <w:t>- 10/10 -</w:t>
      </w:r>
    </w:p>
    <w:p>
      <w:r>
        <w:t>C/28176/2009 PAR CES MOTIFS, La Chambre des baux et loyers : A la forme : Déclare recevable l’appel interjeté par A______ et B______ contre le jugement JTBL/1476/2011 rendu le 14 décembre 2011 par le Tribunal des baux et loyers dans la cause C/28176/2009-3-B. Déclare irrecevables la pièce nouvelle produite sous let. D du chargé de pièces de A______ et B______ du 1er février 2012, ainsi que les faits auxquels elle se rapporte. Déclare irrecevables les pièces 1 et 2, ainsi que 8 à 24 produites par D______ le 2 mars 2012. Au fond : Confirme le jugement entrepris.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La présidente : Nathalie LANDRY-BARTHE</w:t>
      </w:r>
    </w:p>
    <w:p>
      <w:r>
        <w:t>La greffière : Maïté VALENTE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