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ACJC/1548/2022 vom 28. November 2022</w:t>
      </w:r>
    </w:p>
    <w:p>
      <w:r>
        <w:t>GE Cour de justice, 2022-11-28, FR</w:t>
      </w:r>
    </w:p>
    <w:p>
      <w:r>
        <w:rPr>
          <w:b/>
        </w:rPr>
        <w:t xml:space="preserve">Quelle: </w:t>
      </w:r>
      <w:r>
        <w:t>https://mcp.opencaselaw.ch/entscheid/ge_gerichte_ACJC_1548_2022</w:t>
      </w:r>
    </w:p>
    <w:p>
      <w:r>
        <w:t>FR: GE_GERICHTE ACJC/1548/2022 du 28 novembre 2022</w:t>
      </w:r>
    </w:p>
    <w:p>
      <w:r>
        <w:t>IT: GE_GERICHTE ACJC/1548/2022 del 28 novembre 2022</w:t>
      </w:r>
    </w:p>
    <w:p>
      <w:pPr>
        <w:pStyle w:val="Heading2"/>
      </w:pPr>
      <w:r>
        <w:t>Erwägungen</w:t>
      </w:r>
    </w:p>
    <w:p>
      <w:r>
        <w:rPr>
          <w:b/>
        </w:rPr>
        <w:t>E. 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et 131 CPC), le recours est recevable.</w:t>
      </w:r>
    </w:p>
    <w:p>
      <w:r>
        <w:rPr>
          <w:b/>
        </w:rPr>
        <w:t>E. 2</w:t>
      </w:r>
    </w:p>
    <w:p>
      <w:r>
        <w:t>La cognition de la Cour est limitée à la violation du droit et à la constatation manifestement inexacte des faits (art. 320 CPC et 278 al. 3 LP).</w:t>
      </w:r>
    </w:p>
    <w:p>
      <w:r>
        <w:t>La procédure de séquestre est soumise dans toutes ses phases aux maximes de disposition et des débats (art. 58 al. 2 CPC; art. 255 CPC a contrario) et la procédure sommaire est applicable (art. 251 let. a CPC), à savoir que les faits</w:t>
      </w:r>
    </w:p>
    <w:p>
      <w:r>
        <w:t>- 9/18 -</w:t>
      </w:r>
    </w:p>
    <w:p>
      <w:r>
        <w:t>C/5926/2022 doivent être rendus simplement vraisemblables, que le juge examine sommairement le bien-fondé juridique de la prétention et qu'il rend une décision provisoire, ne réglant donc pas définitivement la situation juridique des parties et ne revêtant l'autorité de la chose jugée (ATF 138 III 232 consid. 4.1.1; arrêts du Tribunal fédéral 5A_317/2009 du 20 août 2009 consid. 3.2 et 5A_364/2008 du 12 août 2008 consid. 5.2).</w:t>
      </w:r>
    </w:p>
    <w:p>
      <w:r>
        <w:rPr>
          <w:b/>
        </w:rPr>
        <w:t>E. 3</w:t>
      </w:r>
    </w:p>
    <w:p>
      <w:r>
        <w:t>Les parties ont produit des pièces nouvelles.</w:t>
      </w:r>
    </w:p>
    <w:p>
      <w:r>
        <w:rPr>
          <w:b/>
        </w:rPr>
        <w:t>E. 3.1</w:t>
      </w:r>
    </w:p>
    <w:p>
      <w:r>
        <w:t>En matière d'opposition au séquestre, l'art. 278 al. 3 LP dispose que les parties peuvent alléguer des faits nouveaux dans la procédure de recours contre la décision rendue sur opposition. Cette disposition instaure une exception à l'art. 326 al. 1 CPC, qui prohibe les conclusions, les allégations de faits et les preuves nouvelles dans le cadre d'un recours (cf. art. 326 al. 2 CPC).</w:t>
      </w:r>
    </w:p>
    <w:p>
      <w:r>
        <w:t>Les faits nouveaux, qui selon l'art. 278 al. 3 LP, peuvent être invoqués devant l'instance de recours, comprennent autant les pseudo nova que les vrais nova,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du 3 avril 2019 consid. 6.6 et 6.2).</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rPr>
          <w:b/>
        </w:rPr>
        <w:t>E. 3.2</w:t>
      </w:r>
    </w:p>
    <w:p>
      <w:r>
        <w:t>En l'occurrence, la pièce nouvelle n° 2, ainsi que celles n° 58 et 59, produites respectivement par la recourante et l'intimé à l'appui de leurs réplique et duplique sont postérieures à la date à laquelle le premier juge a gardé la cause à juger, soit le 13 juin 2022, de même qu'à la date du dépôt du recours, respectivement de la réponse, de sorte qu'elles sont recevables, ainsi que les allégués s'y rapportant.</w:t>
      </w:r>
    </w:p>
    <w:p>
      <w:r>
        <w:rPr>
          <w:b/>
        </w:rPr>
        <w:t>E. 4</w:t>
      </w:r>
    </w:p>
    <w:p>
      <w:r>
        <w:t>En invoquant une constatation inexacte des faits, la recourante fait grief au Tribunal d'avoir retenu que la créance invoquée comme fondement du séquestre n'était pas rendue suffisamment vraisemblable.</w:t>
      </w:r>
    </w:p>
    <w:p>
      <w:r>
        <w:t>4.1.1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- 10/18 -</w:t>
      </w:r>
    </w:p>
    <w:p>
      <w:r>
        <w:t>C/5926/2022</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w:t>
      </w:r>
    </w:p>
    <w:p>
      <w:r>
        <w:t>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w:t>
      </w:r>
    </w:p>
    <w:p>
      <w:r>
        <w:t>Compte tenu des effets rigoureux du séquestre, il n'est pas arbitraire d'user d'une appréciation sévère pour l'examen de la vraisemblance (CHAIX, Jurisprudences genevoises en matière de séquestre, in SJ 2005 II 363; GILLIERON, Commentaire LP, 2003, n° 27 ad art. 278 LP).</w:t>
      </w:r>
    </w:p>
    <w:p>
      <w:r>
        <w:t>4.1.2 A teneur de l'art. 678 al. 2 CO, les actionnaires et les membres du conseil d'administration, ainsi que les personnes qui leur sont proches, sont tenus à restitution des prestations de la société qui sont en disproportion évidente avec leur contre-prestation et la situation économique de la société.</w:t>
      </w:r>
    </w:p>
    <w:p>
      <w:r>
        <w:t>II peut ainsi être dégagé une double condition: une disproportion manifeste entre, d'une part, la prestation de la société et, d'autre part, (b) la contre-prestation du</w:t>
      </w:r>
    </w:p>
    <w:p>
      <w:r>
        <w:t>- 11/18 -</w:t>
      </w:r>
    </w:p>
    <w:p>
      <w:r>
        <w:t>C/5926/2022 bénéficiaire et (c) la situation économique de la société (CHENAUX/GACHET, Commentaire romand CO II, 2017, n° 31 ad art. 678 CO).</w:t>
      </w:r>
    </w:p>
    <w:p>
      <w:r>
        <w:t>La société attribue ainsi une prestation appréciable en argent sans contre- prestation équivalente. Le critère principal pour apprécier une éventuelle disproportion entre les prestations au détriment de la société, qui doit être évidente, consiste à déterminer si la prestation litigieuse aurait été fournie aux mêmes conditions à un tiers indépendant. En d'autres termes, il faut déterminer si la société fournit plus que ce qu'elle ne doit ou si elle reçoit moins que ce qui devrait lui revenir. Il faut donc comparer la prestation litigieuse avec le prix et les conditions du marché. A défaut de marché, le prix doit être déterminé sur la base d'une transaction comparable entre parties non liées (arrêt du Tribunal fédéral 4A_631/2020 du 15 juin 2021 consid. 3.1.3; CHENAUX/GACHET, op. cit., n° 30, 32 et 33 ad art. 678 CO).</w:t>
      </w:r>
    </w:p>
    <w:p>
      <w:r>
        <w:t>La disproportion devant être évidente, seuls les abus sont sanctionnés. Cette condition est toutefois plus facile à retenir si la société se trouve dans une situation financière précaire. Le bénéficiaire doit en outre être de mauvaise foi, i.e. connaître le vice affectant l'attribution ou avoir dû le connaître en témoignant d'une attention suffisante (CHENAUX/GACHET, op. cit., n° 33, 36, 42 et 5 ad art. 678 CO).</w:t>
      </w:r>
    </w:p>
    <w:p>
      <w:r>
        <w:t>Le moment déterminant pour juger de la disproportion dépend de la forme de la prestation. Si celle-ci revêt une forme contractuelle, on devrait se placer au moment où la prestation de la société est exigible selon le contrat. Pour un contrat de durée, la disproportion devra encore exister au moment où la société aurait pu mettre un terme au contrat (sans toutefois l'avoir dénoncé). A défaut de contrat, le moment déterminant est celui où la prestation est effectuée et conduit à l'appauvrissement effectif de la société (CHENAUX/GACHET, op. cit., n° 40 ad art. 678 CO).</w:t>
      </w:r>
    </w:p>
    <w:p>
      <w:r>
        <w:t>4.1.3 Conformément à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w:t>
      </w:r>
    </w:p>
    <w:p>
      <w:r>
        <w:t>Il y a surendettement au sens de l'art. 725 al. 2 CO, lorsque l'actif social ne couvre plus les fonds étrangers, c'est-à-dire lorsque les fonds propres ont été entièrement consommés par les pertes (PETER/CAVADINI, Commentaire romand CO II, 2017, n° 31 ad art. 725 CO).</w:t>
      </w:r>
    </w:p>
    <w:p>
      <w:r>
        <w:t>- 12/18 -</w:t>
      </w:r>
    </w:p>
    <w:p>
      <w:r>
        <w:t>C/5926/2022</w:t>
      </w:r>
    </w:p>
    <w:p>
      <w:r>
        <w:t>4.1.4 En procédure sommaire la preuve est rapportée par titres (art. 254 al. 1 CPC), à savoir tout document propre à prouver des faits pertinents (art. 177 CPC; ATF 138 III 636 consid. 4.3.1).</w:t>
      </w:r>
    </w:p>
    <w:p>
      <w:r>
        <w:t>En procédure civile, une expertise privée ne revêt pas la qualité de moyen de preuve, mais doit être assimilée aux allégués de la partie qui la produit (ATF 141 III 433 consid. 2.5.3 et 2.6, in SJ 2016 I p. 162; 140 III 24 consid. 3.3.3; arrêt du Tribunal fédéral 4A_42/2017 du 29 janvier 2018 consid. 3.3.2). Si elle est contestée de manière motivée par la partie adverse, l'expertise à elle seule ne saurait être probante. Elle peut cependant l'être pour autant qu'elle soit corroborée par des indices qui, eux, sont établis par des moyens de preuve (arrêts du Tribunal fédéral 5A_489/2019 du 24 août 2020 consid. 16.1; 4A_412/2019 du 27 avril 2020 consid. 4.2.2.1 et 4A_309/2017 du 26 mars 2018 consid. 2.3.6).</w:t>
      </w:r>
    </w:p>
    <w:p>
      <w:r>
        <w:t>4.1.5 Le tribunal établit sa conviction par une libre appréciation des preuves administrées (art. 157 CPC)</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4.2.1 En l'espèce, la recourante reproche au premier juge d'avoir ignoré l'ensemble des éléments démontrant que sa situation financière ne lui permettait pas de procéder aux versements effectués en mains de l'intimé en 2017. Ceux-ci étaient intervenus en disproportion évidente avec sa situation économique, de sorte que sa créance en restitution était fondée.</w:t>
      </w:r>
    </w:p>
    <w:p>
      <w:r>
        <w:t>Comme déjà relevé par la Cour dans son arrêt ACJC/187/2022 du 27 janvier 2022, rendu dans la cause n° C/3______/2021, les états financiers 2016 de la recourante, tant initiaux que corrigés, ne semblent pas faire état d'une situation financière précaire, dès lors que les actifs circulants et immobilisés étaient plus importants que les fonds étrangers. En effet, les fonds propres nets de la recourante s'élevaient à 1'548'010 fr. 40, respectivement à 3'841'260 fr. 40, au 31 décembre 2016.</w:t>
      </w:r>
    </w:p>
    <w:p>
      <w:r>
        <w:t>La recourante fait valoir que ses états financiers 2016 auraient dû être rectifiés afin de refléter sa réelle situation financière, ses participations dans ses filiales ayant été surévaluées, comme indiqué dans le rapport de son réviseur du 9 juin 2017, ce qui l'aurait "indéniablement mise dans une situation financière précaire".</w:t>
      </w:r>
    </w:p>
    <w:p>
      <w:r>
        <w:t>Conformément à la doctrine citée supra, il semble que la période pertinente pour juger de la disproportion évidente entre les versements litigieux et la situation</w:t>
      </w:r>
    </w:p>
    <w:p>
      <w:r>
        <w:t>- 13/18 -</w:t>
      </w:r>
    </w:p>
    <w:p>
      <w:r>
        <w:t>C/5926/2022 économique de la recourante est celle durant laquelle ces versements ont été effectués, soit en l'occurrence en 2017 et non en 2016, le contrat de prêt du</w:t>
      </w:r>
    </w:p>
    <w:p>
      <w:r>
        <w:rPr>
          <w:b/>
        </w:rPr>
        <w:t>E. 7</w:t>
      </w:r>
    </w:p>
    <w:p>
      <w:r>
        <w:t>La recourante, qui succombe, sera condamnée aux frais du recours (art. 106 al. 1 CPC).</w:t>
      </w:r>
    </w:p>
    <w:p>
      <w:r>
        <w:t>Les frais judiciaires du recours seront arrêtés à 2'250 fr. (art. 48 et 61 OELP) et compensés avec l'avance de même montant versée par la recourante, acquise à l'Etat de Genève (art. 111 al. 1 CPC).</w:t>
      </w:r>
    </w:p>
    <w:p>
      <w:r>
        <w:t>La recourante sera également condamnée à verser à l'intimé 3'000 fr. à titre de dépens de recours, débours compris, étant précisé que l'intimé est domicilié à l'étranger, de sorte qu'il n'y a pas de TVA à prélever (art. 85, 88, 89 et 90 RTFMC; 23 et 25 LaCC). * * * * *</w:t>
      </w:r>
    </w:p>
    <w:p>
      <w:r>
        <w:t>- 18/18 -</w:t>
      </w:r>
    </w:p>
    <w:p>
      <w:r>
        <w:t>C/5926/2022 PAR CES MOTIFS, La Chambre civile :</w:t>
      </w:r>
    </w:p>
    <w:p>
      <w:r>
        <w:t>A la forme : Déclare recevable le recours interjeté le 12 août 2022 par A______ SA contre le jugement OSQ/30/2022 rendu le 26 juillet 2022 par le Tribunal de première instance dans la cause C/5926/2022. Au fond : Le rejette. Déboute les parties de toutes autres conclusions. Sur les frais : Arrête les frais judiciaires du recours à 2'250 fr., les met à charge de A______ SA et les compense entièrement avec l'avance fournie par celle-ci, acquise à l'Etat de Genève. Condamne A______ SA à verser à B______ 3'000 fr. à titre de dépens de recours. Siégeant : Madame Pauline ERARD, présidente; Madame Sylvie DROIN, Madame Nathalie LANDRY-BARTHE,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