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ACJC/1548/2019 vom 4. September 2008</w:t>
      </w:r>
    </w:p>
    <w:p>
      <w:r>
        <w:t>GE Cour de justice, 2008-09-04, FR</w:t>
      </w:r>
    </w:p>
    <w:p>
      <w:r>
        <w:rPr>
          <w:b/>
        </w:rPr>
        <w:t xml:space="preserve">Quelle: </w:t>
      </w:r>
      <w:r>
        <w:t>https://mcp.opencaselaw.ch/entscheid/ge_gerichte_ACJC_1548_2019</w:t>
      </w:r>
    </w:p>
    <w:p>
      <w:r>
        <w:t>FR: GE_GERICHTE ACJC/1548/2019 du 4 septembre 2008</w:t>
      </w:r>
    </w:p>
    <w:p>
      <w:r>
        <w:t>IT: GE_GERICHTE ACJC/1548/2019 del 4 settembre 2008</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- 4/6 -</w:t>
      </w:r>
    </w:p>
    <w:p>
      <w:r>
        <w:t>C/5657/2019</w:t>
      </w:r>
    </w:p>
    <w:p>
      <w:r>
        <w:rPr>
          <w:b/>
        </w:rPr>
        <w:t>E. 3</w:t>
      </w:r>
    </w:p>
    <w:p>
      <w:r>
        <w:t>Le recourant reproche au Tribunal d'avoir admis la légitimation active de l'intimée, alors que la requête de mainlevée avait été déposée tandis que l'enfant était déjà majeur.</w:t>
      </w:r>
    </w:p>
    <w:p>
      <w:r>
        <w:t>3.1.1 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("Prozessstandschaft" ou "Prozessführungsbefugnis").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(ATF 142 III 78 consid. 3.3). Le Tribunal fédéral a cependant laissé ouverte la question de savoir si le représentant légal ou le détenteur de la garde peut poursuivre une procédure d'exécution forcée ou un procès en mainlevée d'opposition lorsqu'il a entamé la poursuite ou requis la mainlevée en son nom pour l'entretien dû à l'enfant avant la majorité de celui-ci et que ce dernier devient majeur en cours de procédure, par analogie avec ce qui prévaut en matière de divorce (ATF 142 III 78 consid. 3.3). En pareil cas, il est en effet admis que la faculté d'agir du parent qui détient l'autorité parentale perdure au-delà de la majorité de l'enfant, lorsque celle-ci survient en cours de procédure. L'enfant devenu majeur durant la procédure doit cependant être consulté dans la mesure où le procès porte sur les contributions d'entretien réclamées pour la période postérieure à la majorité (ATF 129 III 55 consid. 3.1.5; voir également ABBET/VEUILLET, La mainlevée de l'opposition, 2017, n. 80 ad art. 80 LP et n. 37 ad art. 84 LP). Certains auteurs relèvent qu'à teneur de la loi, les contributions d'entretien doivent être versées en mains de la personne qui a effectivement fourni les prestations d'entretien. Il s'agit généralement du détenteur de l'autorité parentale, et ce même après la majorité de l'enfant, lorsqu'il a effectué des paiements en lieu et place du</w:t>
      </w:r>
    </w:p>
    <w:p>
      <w:r>
        <w:t>- 5/6 -</w:t>
      </w:r>
    </w:p>
    <w:p>
      <w:r>
        <w:t>C/5657/2019 débirentier (BREITSCHMID/KAMP, Basler Kommentar, Zivilgesetzbuch I, 2010, n. 8 ad art. 289 CC et réf. citées).</w:t>
      </w:r>
    </w:p>
    <w:p>
      <w:r>
        <w:rPr>
          <w:b/>
        </w:rPr>
        <w:t>E. 3.2</w:t>
      </w:r>
    </w:p>
    <w:p>
      <w:r>
        <w:t>En l'espèce, la réquisition de poursuite déposée par l'intimée le 3 octobre 2018 l'a été avant que l'enfant C______ ne devienne majeur et concerne des contributions dues pendant la minorité de ce dernier. C'est à bon droit que le Tribunal a fait application de la jurisprudence valable pour la procédure de divorce et a admis en conséquence la légitimation active de l'intimée pour requérir la mainlevée définitive, l'enfant n'étant devenu majeur qu'en cours de procédure. Il n'était pas nécessaire de le consulter s'agissant de contributions dues pendant sa minorité. Le recours doit être rejeté.</w:t>
      </w:r>
    </w:p>
    <w:p>
      <w:r>
        <w:rPr>
          <w:b/>
        </w:rPr>
        <w:t>E. 4</w:t>
      </w:r>
    </w:p>
    <w:p>
      <w:r>
        <w:t>Les frais de recours, arrêtés à 300 fr. et compensés avec l'avance fournie, acquise à l'Etat de Genève, seront mis à la charge du recourant qui succombe.</w:t>
      </w:r>
    </w:p>
    <w:p>
      <w:r>
        <w:t>Il n'y a pas lieu à l'allocation de dépens, l'intimée ne s'étant pas déterminée sur le recours (art. 95 al. 3 let. c CPC). * * * * *</w:t>
      </w:r>
    </w:p>
    <w:p>
      <w:r>
        <w:t>- 6/6 -</w:t>
      </w:r>
    </w:p>
    <w:p>
      <w:r>
        <w:t>C/5657/2019 PAR CES MOTIFS, La Chambre civile : A la forme : Déclare recevable le recours interjeté par A______ contre le jugement JTPI/10664/2019 rendu le 12 juillet 2019 par le Tribunal de première instance dans la cause C/5657/2019- 16 SML. Au fond : Le rejette. Sur les frais : Arrête les frais de recours à 300 fr., les met à la charge de A______ et dit qu'ils sont compensés avec l'avance fournie,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