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ACJC/1547/2023 vom 23. November 2023</w:t>
      </w:r>
    </w:p>
    <w:p>
      <w:r>
        <w:t>GE Cour de justice, 2023-11-23, FR</w:t>
      </w:r>
    </w:p>
    <w:p>
      <w:r>
        <w:rPr>
          <w:b/>
        </w:rPr>
        <w:t xml:space="preserve">Quelle: </w:t>
      </w:r>
      <w:r>
        <w:t>https://mcp.opencaselaw.ch/entscheid/ge_gerichte_ACJC_1547_2023</w:t>
      </w:r>
    </w:p>
    <w:p>
      <w:r>
        <w:t>FR: GE_GERICHTE ACJC/1547/2023 du 23 novembre 2023</w:t>
      </w:r>
    </w:p>
    <w:p>
      <w:r>
        <w:t>IT: GE_GERICHTE ACJC/1547/2023 del 23 novembre 2023</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w:t>
      </w:r>
    </w:p>
    <w:p>
      <w:r>
        <w:t>- 4/6 -</w:t>
      </w:r>
    </w:p>
    <w:p>
      <w:r>
        <w:t>C/14420/2023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1.1.3 La notification à une personne morale peut être faite auprès de tout organe habilité à représenter la personne morale, même à l’adresse privée de celui-ci. Cette réglementation légale tend à s’assurer que les courriers des tribunaux (de manière analogue aux actes de poursuite (ATF 134 III 112 c. 3.1 et réf.) parviennent aux personnes physiques qui peuvent agir pour la société. 1.1.4 Les inscriptions au Registre du commerce, accessibles au public par internet, sont notoires (arrêt du Tribunal fédéral 4A_473/2011 du 22 décembre 2011 consid. 2.2). 1.1.5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(art. 141 al. 1 let. a CPC). Le fait d'utiliser la voie édictale alors que ses conditions ne sont pas réalisées constitue un motif de nullité (ATF 136 III 571 consid. 6.3, JdT 2014 II 108; 129 I 361 consid. 2.2, JdT 2004 II 47; arrêts du Tribunal fédéral 5A_41/2019 du 22 janvier 2020 consid. 4.3.1; 5A_667/2018 du 2 avril 2019 consid. 4.2). Il résulte toutefois de ces arrêts que la nullité doit être limitée aux cas où la partie n'a pas eu connaissance de la procédure (arrêt du Tribunal fédéral 5A_699/2019 du 30 mars 2020 consid. 5 n.p. in ATF 146 III 247).</w:t>
      </w:r>
    </w:p>
    <w:p>
      <w:r>
        <w:rPr>
          <w:b/>
        </w:rPr>
        <w:t>E. 1.2</w:t>
      </w:r>
    </w:p>
    <w:p>
      <w:r>
        <w:t>En l'espèce, aucune des citations à comparaître à l'audience de faillite adressées par le Tribunal n'est parvenue à la recourante ou à son associé. Dans la mesure où, à la date de la convocation par publication dans la FAO, le nouveau</w:t>
      </w:r>
    </w:p>
    <w:p>
      <w:r>
        <w:t>- 5/6 -</w:t>
      </w:r>
    </w:p>
    <w:p>
      <w:r>
        <w:t>C/14420/2023 siège de la société apparaissait au Registre du commerce, le Tribunal n'aurait pas dû procéder par voie édictale; ainsi cette citation doit être considérée comme nulle. Il ressort de ce qui précède que la recourante n'a pas valablement été atteinte. Or, l'avis aux parties de l'audience de faillite avant la tenue de celle-ci est une condition formelle de la décision de faillite.</w:t>
      </w:r>
    </w:p>
    <w:p>
      <w:r>
        <w:t>Il résulte de ce qui précède que le droit d'être entendue de la recourante a été violé puisqu'elle n'a pas été valablement convoquée à l'audience du 6 novembre 2023 et qu'elle a ainsi été privée de la possibilité de faire valoir ses arguments devant le Tribunal. La violation du droit d'être entendue de la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(art. 107 al. 2 CPC). Il n'y a pas lieu d'allouer de dépens à la partie recourante, l’art. 107 al. 2 CPC ne permettant pas de mettre des dépens à la charge de l’Etat de Genève. * * * * *</w:t>
      </w:r>
    </w:p>
    <w:p>
      <w:r>
        <w:t>- 6/6 -</w:t>
      </w:r>
    </w:p>
    <w:p>
      <w:r>
        <w:t>C/14420/2023 PAR CES MOTIFS, La Chambre civile : Annule le jugement JTPI/12750/2023 rendu le 6 novembre 2023 par le Tribunal de première instance dans la cause C/14420/2023-19 SFC. Renvoie la cause au Tribunal de première instance pour nouvelle décision. Sur les frais : Arrête les frais judiciaires du recours à 220 fr. et les met à la charge de l'Etat de Genève. Invite les Services financiers du pouvoir judiciaire à restituer à A______ SNC la somme de 220 fr. Dit qu'il n'est pas alloué de dépens de recours. Siégeant : Madame Pauline ERARD, présidente; Madame Sylvie DROIN,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