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ACJC/1546/2022 vom 24. Februar 2022</w:t>
      </w:r>
    </w:p>
    <w:p>
      <w:r>
        <w:t>GE Cour de justice, 2022-02-24, FR</w:t>
      </w:r>
    </w:p>
    <w:p>
      <w:r>
        <w:rPr>
          <w:b/>
        </w:rPr>
        <w:t xml:space="preserve">Quelle: </w:t>
      </w:r>
      <w:r>
        <w:t>https://mcp.opencaselaw.ch/entscheid/ge_gerichte_ACJC_1546_2022</w:t>
      </w:r>
    </w:p>
    <w:p>
      <w:r>
        <w:t>FR: GE_GERICHTE ACJC/1546/2022 du 24 février 2022</w:t>
      </w:r>
    </w:p>
    <w:p>
      <w:r>
        <w:t>IT: GE_GERICHTE ACJC/1546/2022 del 24 febbraio 2022</w:t>
      </w:r>
    </w:p>
    <w:p>
      <w:pPr>
        <w:pStyle w:val="Heading2"/>
      </w:pPr>
      <w:r>
        <w:t>Erwägungen</w:t>
      </w:r>
    </w:p>
    <w:p>
      <w:r>
        <w:rPr>
          <w:b/>
        </w:rPr>
        <w:t>E. 1</w:t>
      </w:r>
    </w:p>
    <w:p>
      <w:r>
        <w:t>Interjeté dans le délai utile et suivant la forme prescrite par la loi (art. 130, 131, 142 al. 1 et 311 al. 1 CPC), à l'encontre d'une décision finale de première instance qui statue sur des prétentions pécuniaires dont la valeur litigieuse au dernier état des conclusions était supérieure à 10'000 fr. (art. 91ss et 308 al. 2 CPC), l'appel est recevable.</w:t>
      </w:r>
    </w:p>
    <w:p>
      <w:r>
        <w:rPr>
          <w:b/>
        </w:rPr>
        <w:t>E. 2</w:t>
      </w:r>
    </w:p>
    <w:p>
      <w:r>
        <w:t>L'appelante soutient que son action en libération de dette a été déposée dans le délai prescrit par l'art. 83 al. 2 LP.</w:t>
      </w:r>
    </w:p>
    <w:p>
      <w:r>
        <w:rPr>
          <w:b/>
        </w:rPr>
        <w:t>E. 2.1</w:t>
      </w:r>
    </w:p>
    <w:p>
      <w:r>
        <w:t>L'action en libération de dette (art. 83 al. 2 LP) est une action de droit matériel tendant à faire constater que la créance déduite en poursuite était inexistante ou inexigible au moment de l'introduction de la poursuite. Elle doit être intentée dans les 20 jours "à compter de la mainlevée". Selon l'art. 143 al. 1 CPC, les actes doivent être remis au plus tard le dernier jour du délai soit au tribunal soit à l'attention de ce dernier, à la poste suisse ou à une représentation diplomatique ou consulaire suisse. Le délai est sauvegardé si l'acte est remis le dernier jour du délai à minuit (ATF 142 V 389 consid. 2.2 p. 391 et les références citées). A l'instar d'une boîte postale (cf. ATF 142 V 389 consid. 2.2; arrêt 8C_696/2018 précité consid. 3.3 et les références), il y a lieu d'assimiler l'automate "MyPost 24" à un bureau de poste suisse au sens notamment de l'art. 143 al. 1 CPC, à charge, le cas échéant, pour l'expéditeur de prouver que le délai a été observé (arrêt du Tribunal fédéral 5A_972/2018 du</w:t>
      </w:r>
    </w:p>
    <w:p>
      <w:r>
        <w:rPr>
          <w:b/>
        </w:rPr>
        <w:t>E. 2.2</w:t>
      </w:r>
    </w:p>
    <w:p>
      <w:r>
        <w:t>En l'espèce, le jugement de mainlevée a été notifié à l'appelante le 8 octobre 2021. Il n'est pas contesté que le délai pour déposer l'action en libération de dette venait à échéance le 28 octobre 2021.</w:t>
      </w:r>
    </w:p>
    <w:p>
      <w:r>
        <w:t>- 5/6 -</w:t>
      </w:r>
    </w:p>
    <w:p>
      <w:r>
        <w:t>C/20726/2021 Le sceau postal figurant sur l'enveloppe reçue par le Tribunal mentionnait la date du 29 octobre 2021. Ledit sceau postal constituait un élément pertinent pour le Tribunal pour déterminer si l'action en libération de dette avait été déposée dans le délai prescrit par l'art. 83 al. 2 LP. Le Tribunal a par ailleurs donné la possibilité aux parties de se déterminer sur la recevabilité de l'action en libération de dette. A cette occasion, l'appelante ne s'est pas exprimée sur la question du respect du délai pour déposer cette action et n'a notamment pas produit le relevé du suivi des envois de la Poste, qu'elle a déposé après avoir reçu le jugement attaqué seulement. Cela étant, le Tribunal n'avait pas attiré l'attention de l'appelante sur le fait que l'enveloppe contenant l'action en libération de dette portait la date du 29 octobre 2021. L'action en libération de dette a été envoyée par courrier recommandé au Tribunal et l'enveloppe reçue par ce dernier comportait par ailleurs un numéro d'envoi. Il ressort du suivi des envois de la Poste, auquel le Tribunal pouvait facilement accéder, que l'action en libération de dette a été déposée le 28 octobre 2021, soit dans le délai de l'art. 83 al. 2 LP. Ledit délai a donc été respecté et l'action en libération de dette était recevable à cet égard, ce que l'intimée ne conteste d'ailleurs pas. Au vu de ce qui précède, l'appel est fondé. Le jugement attaqué sera annulé et la cause renvoyée au Tribunal pour nouvelle décision sur l'action en libération de dette, étant relevé que l'appelante ne conteste pas l'irrecevabilité de sa demande en paiement. 3. Au vu de l'issue du litige, les frais judiciaires de première instance et d'appel seront laissés à la charge de l'Etat (art. 107 al. 2 CPC). Les Services financiers du Pouvoir judiciaire seront dès lors invités à restituer à l'appelante le montant de l'avance qu'elle avait fournie pour la procédure d'appel.</w:t>
      </w:r>
    </w:p>
    <w:p>
      <w:r>
        <w:t>Il ne sera pas alloué de dépens d'appel dans la mesure où l'art. 107 al. 2 CPC permet uniquement de mettre à la charge du canton les frais judiciaires, conformément à son texte qui ne mentionne que ceux-ci, à l'exclusion des dépens (arrêt du Tribunal fédéral 5A_356/2014 du 14 août 2014 consid. 4.1). * * * * *</w:t>
      </w:r>
    </w:p>
    <w:p>
      <w:r>
        <w:t>- 6/6 -</w:t>
      </w:r>
    </w:p>
    <w:p>
      <w:r>
        <w:t>C/20726/2021 PAR CES MOTIFS, La Chambre civile : A la forme : Déclare recevable l'appel interjeté par A______ contre le jugement JTPI/2386/2022 rendu le 24 février 2022 par le Tribunal de première instance dans la cause C/20726/2021. Au fond : Annule ce jugement et, cela fait, renvoie la cause au Tribunal pour instruction et nouvelle décision. Déboute les parties de toutes autres conclusions. Sur les frais : Laisse les frais judiciaires d'appel à la charge de l'Etat de Genève. Invite les Services financiers du Pouvoir judiciaire à restituer la somme de 1'800 fr. à A______. Dit qu'il n'est pas alloué de dépens d'appel. Siégeant : Monsieur Laurent RIEBEN, président; Monsieur Patrick CHENAUX, Madame Fabienne GEISINGER-MARIETHOZ,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5</w:t>
      </w:r>
    </w:p>
    <w:p>
      <w:r>
        <w:t>février 2019, consid. 4.2). La date du dépôt d'un acte de procédure est présumée coïncider avec celle du sceau postal (ATF 142 V 389 consid. 2.2 p. 391; 124 V 372 consid. 3b p. 375; arrêts 6B_154/2020 du 16 novembre 2020 consid. 3.1.1; 6B_157/2020 du 7 février 2020 consid. 2.3, in SJ 2020 I 232). En cas d'envoi recommandé, le Tribunal fédéral se réfère régulièrement l'extrait Track and Trace de suivi des envois de La Poste Suisse dont il découle une présomption, réfragable, quant à la date de l'envoi (cf. arrêt du Tribunal fédéral 2C_86/2022 du 8 juillet 2022, consid. 3.1 et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