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ACJC/1546/2018 vom 9. November 2018</w:t>
      </w:r>
    </w:p>
    <w:p>
      <w:r>
        <w:t>GE Cour de justice, 2018-11-09, FR</w:t>
      </w:r>
    </w:p>
    <w:p>
      <w:r>
        <w:rPr>
          <w:b/>
        </w:rPr>
        <w:t xml:space="preserve">Quelle: </w:t>
      </w:r>
      <w:r>
        <w:t>https://mcp.opencaselaw.ch/entscheid/ge_gerichte_ACJC_1546_2018</w:t>
      </w:r>
    </w:p>
    <w:p>
      <w:r>
        <w:t>FR: GE_GERICHTE ACJC/1546/2018 du 9 novembre 2018</w:t>
      </w:r>
    </w:p>
    <w:p>
      <w:r>
        <w:t>IT: GE_GERICHTE ACJC/1546/2018 del 9 novembre 2018</w:t>
      </w:r>
    </w:p>
    <w:p>
      <w:pPr>
        <w:pStyle w:val="Heading2"/>
      </w:pPr>
      <w:r>
        <w:t>Erwägungen</w:t>
      </w:r>
    </w:p>
    <w:p>
      <w:r>
        <w:rPr>
          <w:b/>
        </w:rPr>
        <w:t>E. 1</w:t>
      </w:r>
    </w:p>
    <w:p>
      <w:r>
        <w:t>Le 30 août 2018, A______ a formé appel, subsidiairement recours, contre le jugement rendu par le Tribunal le 28 juin 2018.</w:t>
      </w:r>
    </w:p>
    <w:p>
      <w:r>
        <w:rPr>
          <w:b/>
        </w:rPr>
        <w:t>E. 1.1</w:t>
      </w:r>
    </w:p>
    <w:p>
      <w:r>
        <w:t>Dans les affaires patrimoniales, l'appel est recevable si la valeur litigieuse au dernier état des conclusions est de 10'000 fr. au moins (art. 308 al. 2 CPC). Le texte légal tient pour relevante la situation du litige prévalant au dernier état des conclusions de première instance (JEANDIN, Code de procédure civile commenté, BOHNET/HALDY/JEANDIN/SCHWEIZER/TAPPY, 2011, ad art. 308 n. 13).</w:t>
      </w:r>
    </w:p>
    <w:p>
      <w:r>
        <w:rPr>
          <w:b/>
        </w:rPr>
        <w:t>E. 1.2</w:t>
      </w:r>
    </w:p>
    <w:p>
      <w:r>
        <w:t>Dans le cas d'espèce, A______ avait notamment conclu, devant le Tribunal, au paiement d'une soulte de liquidation du régime matrimonial supérieure à 1'100'000 fr. La valeur litigieuse minimum prévue par l'art. 308 al. 2 CPC est dès lors atteinte et l'appel recevable.</w:t>
      </w:r>
    </w:p>
    <w:p>
      <w:r>
        <w:rPr>
          <w:b/>
        </w:rPr>
        <w:t>E. 2</w:t>
      </w:r>
    </w:p>
    <w:p>
      <w:r>
        <w:t>L'appelante a sollicité, à titre provisionnel, l'exécution anticipée du jugement, en tant qu'il a condamné l'intimé à lui verser la somme de 1'150'070 fr. à titre de soulte de liquidation du régime matrimonial.</w:t>
      </w:r>
    </w:p>
    <w:p>
      <w:r>
        <w:rPr>
          <w:b/>
        </w:rPr>
        <w:t>E. 2.1</w:t>
      </w:r>
    </w:p>
    <w:p>
      <w:r>
        <w:t>L'appel suspend la force de chose jugée et le caractère exécutoire de la décision dans la mesure des conclusions prises en appel (art. 315 al. 1 CPC). L'instance d'appel peut autoriser l'exécution anticipée. Elle ordonne au besoin des mesures conservatoires ou la fourniture de sûretés (art. 315 al. 2 CPC). Dans certaines situations, l'absence de caractère exécutoire du jugement peut déployer des conséquences fâcheuses pour la partie ayant eu gain de cause en première instance. C'est la raison pour laquelle la loi prévoit la possibilité pour l'instance d'appel d'autoriser l'exécution anticipée de la décision attaquée, laquelle devient alors (provisoirement) exécutoire dans cette mesure (art. 336 al. 1 let. b CPC). Il y a ici retrait de l'effet suspensif, qui peut porter sur tous les points ou sur une partie seulement des points visés par l'appel ordinaire. L'instance d'appel dispose d'un large pouvoir d'appréciation (…). On peut penser à l'appel dirigé contre une décision rendue en procédure sommaire dans les cas clairs (art. 257 CPC) ou – dans certains cas – contre un jugement condamnatoire portant sur une somme d'argent (JEANDIN, Code de procédure civile commenté, BOHNET/HALDY/JEANDIN/SCHWEIZER/TAPPY, ad art. 315 n. 4 et 5 et les références citées).</w:t>
      </w:r>
    </w:p>
    <w:p>
      <w:r>
        <w:rPr>
          <w:b/>
        </w:rPr>
        <w:t>E. 2.2</w:t>
      </w:r>
    </w:p>
    <w:p>
      <w:r>
        <w:t>En l'espèce, les deux parties ont formé appel contre le jugement du 28 juin 2018 en tant qu'il a condamné l'intimé à verser à l'appelante la somme de 1'150'070 fr. à titre de soulte de liquidation du régime matrimonial. L'appelante</w:t>
      </w:r>
    </w:p>
    <w:p>
      <w:r>
        <w:t>- 6/9 -</w:t>
      </w:r>
    </w:p>
    <w:p>
      <w:r>
        <w:t>C/24732/2010 conclut à l'octroi d'un montant plus élevé, alors que l'intimé ne reconnaît devoir qu'une somme de 187'907 fr. 37. La Cour ne saurait par conséquent autoriser l'exécution anticipée du jugement de première instance en tant qu'il a condamné l'intimé à verser 1'150'070 fr. à l'appelante, étant relevé que cette exécution anticipée ne serait, quoiqu'il en soit, que provisoire, ce qui contraindrait l'appelante à devoir restituer une partie de la somme reçue si l'intimé devait avoir en tout ou partie gain de cause à l'issue de la procédure. Par ailleurs, les motifs allégués par l'appelante pour solliciter l'exécution anticipée du chiffre 1 du dispositif du jugement attaqué n'emportent pas conviction. Conformément à ce qui sera exposé sous chiffre 3 ci-dessous, les mesures ordonnées à titre superprovisionnel seront confirmées, en ce sens qu'il sera fait interdiction à l'intimé d'aliéner son bien immobilier. Cette mesure est par conséquent de nature à pallier le risque que l'intimé, par un acte de disposition volontaire de sa villa, dissimule ses avoirs et prive l'appelante de la possibilité d'obtenir le paiement de la somme qui lui reviendra dans le cadre de la liquidation du régime matrimonial. L'interdiction d'aliéner apparaît par conséquent suffisante pour garantir la future créance de l'appelante, sans qu'il soit, de surcroît, nécessaire d'ordonner l'exécution anticipée du chiffre 1 du dispositif du jugement attaqué.</w:t>
      </w:r>
    </w:p>
    <w:p>
      <w:r>
        <w:rPr>
          <w:b/>
        </w:rPr>
        <w:t>E. 3</w:t>
      </w:r>
    </w:p>
    <w:p>
      <w:r>
        <w:t>L'appelante a également conclu à ce qu'il soit fait interdiction à B______ d'aliéner, de grever ou de disposer de toute autre manière, sans son accord ou celui du juge, de la villa dont il est propriétaire à C______.</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Dans la mesure nécessaire pour assurer l'exécution d'obligations pécuniaires découlant du mariage, le juge peut, à la requête de l'un des époux, restreindre le pouvoir de l'autre de disposer de certains de ses biens sans le consentement de son conjoint (art. 178 al. 1 CC), le juge ordonnant les mesures de sûreté appropriées (art. 178 al. 2 CC); Lorsque le juge interdit à un époux de disposer d'un immeuble, il en fait porter la mention au Registre foncier (art. 178 al. 3 CC); La restriction du pouvoir de disposer de l'art. 178 al. 1 CC est une mesure provisionnelle conservatoire, telle que celle ressortant de l'art. 262 let. a CPC (PELLATON, Droit matrimonial, Commentaire pratique, Bâle 2016 n. 3 ad art. 178 CC);</w:t>
      </w:r>
    </w:p>
    <w:p>
      <w:r>
        <w:t>- 7/9 -</w:t>
      </w:r>
    </w:p>
    <w:p>
      <w:r>
        <w:t>C/24732/2010 Il appartient au requérant de rendre vraisemblable une mise en danger sérieuse et actuelle, soit notamment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consid. 3b); La protection accordée par l'art. 178 CC s'étend aux expectatives en matière de liquidation du régime matrimonial lorsque celles-ci risquent de ne pas pouvoir être concrétisées en raison de l'absence de bien disponible (ACJC/1093/2010 du 30 septembre 2010 consid. 12.1);</w:t>
      </w:r>
    </w:p>
    <w:p>
      <w:r>
        <w:rPr>
          <w:b/>
        </w:rPr>
        <w:t>E. 3.2</w:t>
      </w:r>
    </w:p>
    <w:p>
      <w:r>
        <w:t>En l'espèce, le Tribunal a condamné l'intimé à verser à l'appelante la somme de 1'150'070 fr. à titre de soulte de liquidation du régime matrimonial. Cette condamnation n'est pas encore définitive, les deux parties ayant formé appel contre ce point du jugement du 28 juin 2018. L'élément essentiel de la fortune de B______ est constitué, outre de liquidités, facilement transférables, de la maison dont il est seul propriétaire à C______. Au stade des mesures provisionnelles, A______ a rendu suffisamment vraisemblable le fait que son ex-époux est peu enclin à respecter les décisions de justice, dans la mesure où il a accumulé des arriérés de contributions d'entretien et que, selon ce qui ressort du dossier, il n'a pas encore restitué à son ex-épouse les meubles et effets personnels appartenant en propre à celle-ci, alors qu'il avait été condamné à le faire par arrêt de la Cour du 12 février 2016. Il ressort en outre des pièces versées à la procédure par l'appelante, non contestées par l'intimé, que la maison sise à C______ a été mise en vente. Il existe par conséquent un risque que B______, par un acte de disposition volontaire de la villa, se mette dans l'impossibilité de faire face à ses obligations pécuniaires découlant de la liquidation du régime matrimonial, ou rende le recouvrement de la somme éventuellement due à A______ extrêmement compliqué. Au vu de ce qui précède, il se justifie de faire droit aux conclusions prises par celle-ci sur mesures provisionnelles. Il ne paraît en revanche pas nécessaire d'assortir l'interdiction d'aliéner de la menace de la peine prévue par l'art. 292 CP, puisque la mesure fera l'objet d'une annotation au Registre foncier.</w:t>
      </w:r>
    </w:p>
    <w:p>
      <w:r>
        <w:rPr>
          <w:b/>
        </w:rPr>
        <w:t>E. 4</w:t>
      </w:r>
    </w:p>
    <w:p>
      <w:r>
        <w:t>L'appelante a sollicité le versement d'une provisio ad litem de 10'000 fr. relative à la procédure d'appel.</w:t>
      </w:r>
    </w:p>
    <w:p>
      <w:r>
        <w:t>- 8/9 -</w:t>
      </w:r>
    </w:p>
    <w:p>
      <w:r>
        <w:t>C/24732/2010</w:t>
      </w:r>
    </w:p>
    <w:p>
      <w:r>
        <w:rPr>
          <w:b/>
        </w:rPr>
        <w:t>E. 4.1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w:t>
      </w:r>
    </w:p>
    <w:p>
      <w:r>
        <w:t>La fixation d'une provisio ad litem par le juge présuppose, d'une part, l'incapacité de la partie demanderesse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w:t>
      </w:r>
    </w:p>
    <w:p>
      <w:r>
        <w:t>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rPr>
          <w:b/>
        </w:rPr>
        <w:t>E. 4.2</w:t>
      </w:r>
    </w:p>
    <w:p>
      <w:r>
        <w:t>En l'espèce, l'instruction de la cause n'est pas encore terminée, puisque A______ devra répondre à l'appel formé par B______, de sorte que le versement d'une provisio ad litem est encore justifié quant à son principe. Il ressort par ailleurs du dossier que la situation financière de l'intimé est nettement plus favorable que celle de l'appelante, celui-ci exerçant une activité lucrative régulière et étant, notamment, seul propriétaire de la villa sise à C______. Par ailleurs et quand bien même l'intimé a été condamné à verser une contribution d'entretien en faveur de son épouse, ladite contribution est destinée à permettre à l'appelante d'assumer ses charges mensuelles et non de couvrir ses frais de procès et ses honoraires d'avocat. Il se justifie par conséquent de condamner l'intimé à verser à l'appelante la somme de 10'000 fr., destinée à couvrir ses frais de procédure d'appel et à provisionner son conseil dans ce cadre.</w:t>
      </w:r>
    </w:p>
    <w:p>
      <w:r>
        <w:rPr>
          <w:b/>
        </w:rPr>
        <w:t>E. 5</w:t>
      </w:r>
    </w:p>
    <w:p>
      <w:r>
        <w:t>La fixation et la répartition des frais de la présente procédure sur mesures provisionnelles sera renvoyée à l'arrêt qui sera rendu sur le fond (art. 104 al. 3 CPC).</w:t>
      </w:r>
    </w:p>
    <w:p>
      <w:r>
        <w:t>- 9/9 -</w:t>
      </w:r>
    </w:p>
    <w:p>
      <w:r>
        <w:t>C/24732/2010 * * * * * PAR CES MOTIFS, La Chambre civile : Statuant sur mesures provisionnelles : Fait interdiction à B______ d'aliéner, de grever ou de disposer de toute autre manière, sans l'accord de A______ ou décision d'une autorité judiciaire, du bien immobilier sis 1______, C______, bien-fonds n° 2______, plan n° 3______, commune de C______. Invite le Conservateur du Registre foncier à porter ladite mention au Registre foncier. Dit que la mesure déploiera ses effets jusqu'à nouvelle décision. Condamne B______ à verser à A______ une provisio ad litem de 10'000 fr. Déboute les parties de toutes autres conclusions. Renvoie le sort des frais relatifs au présent arrêt à la décision au fond. Siégeant : Monsieur Cédric-Laurent MICHEL, président; Madame Pauline ERARD et Madame Paola CAMPOMAGNANI, juges; Madame Sandra MILLET, greffière.</w:t>
      </w:r>
    </w:p>
    <w:p>
      <w:r>
        <w:t>Le président : Cédric-Laurent MICHEL</w:t>
      </w:r>
    </w:p>
    <w:p>
      <w:r>
        <w:t>La greffière : Sandra MILLET</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