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ACJC/1545/2015 vom 11. Juni 2015</w:t>
      </w:r>
    </w:p>
    <w:p>
      <w:r>
        <w:t>GE Cour de justice, 2015-06-11, FR</w:t>
      </w:r>
    </w:p>
    <w:p>
      <w:r>
        <w:rPr>
          <w:b/>
        </w:rPr>
        <w:t xml:space="preserve">Quelle: </w:t>
      </w:r>
      <w:r>
        <w:t>https://mcp.opencaselaw.ch/entscheid/ge_gerichte_ACJC_1545_2015</w:t>
      </w:r>
    </w:p>
    <w:p>
      <w:r>
        <w:t>FR: GE_GERICHTE ACJC/1545/2015 du 11 juin 2015</w:t>
      </w:r>
    </w:p>
    <w:p>
      <w:r>
        <w:t>IT: GE_GERICHTE ACJC/1545/2015 del 11 giugno 2015</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Lorsque l'action ne porte pas sur le paiement d'une somme d'argent déterminée, le Tribunal détermine la valeur litigieuse si les parties n'arrivent pas à s'entendre sur ce point ou si la valeur qu'elles avancent est manifestement erronée (art. 91 al.2 CPC). La détermination de la valeur litigieuse suit les mêmes règles que pour la procédure devant le Tribunal fédéral (RETORNAZ, Procédure civile suisse, Les grands thèmes pour les praticiens, Neuchâtel, 2010, p. 363). L'art. 51 al. 4 LTF dispose que les revenus et les prestations périodiques ont la valeur du capital qu'ils représentent. Si leur durée est indéterminée ou illimitée, le capital est formé par le montant annuel du revenu ou de la prestation, multiplié par vingt, ou, s'il s'agit de rentes viagères, par la valeur actuelle du capital correspondant à la rente. Plus particulièrement, en matière de contrat de bail à durée indéterminée, la valeur litigieuse est calculée en fonction de la baisse requise, fixée annuellement et multipliée par vingt (ATF 114 II 165, consid. 2b; arrêt du Tribunal fédéral 4C_169/2002 du 16 octobre 2002; LACHAT, Procédure civile en matière de baux et loyers, Lausanne, 2011, p. 48).</w:t>
      </w:r>
    </w:p>
    <w:p>
      <w:r>
        <w:rPr>
          <w:b/>
        </w:rPr>
        <w:t>E. 1.2</w:t>
      </w:r>
    </w:p>
    <w:p>
      <w:r>
        <w:t>En l'espèce, la présente procédure a trait à une demande de baisse de loyer. La valeur litigieuse correspond dès lors au montant de la baisse annuelle de loyer requise multiplié par vingt, soit 23'760 fr. (baisse de loyer annuelle requise de 1'188 fr. (= (99 x 12) x 20 ans). La valeur litigieuse est ainsi largement supérieure à 10'000 fr., seuil prévu pour l'admissibilité de l'appel.</w:t>
      </w:r>
    </w:p>
    <w:p>
      <w:r>
        <w:rPr>
          <w:b/>
        </w:rPr>
        <w:t>E. 1.3</w:t>
      </w:r>
    </w:p>
    <w:p>
      <w:r>
        <w:t>L'appel peut être formé pour violation du droit ou constatation inexacte des faits (art. 310 CPC).</w:t>
      </w:r>
    </w:p>
    <w:p>
      <w:r>
        <w:rPr>
          <w:b/>
        </w:rPr>
        <w:t>E. 1.4</w:t>
      </w:r>
    </w:p>
    <w:p>
      <w:r>
        <w:t>Selon l'art. 311 CPC, l'appel, écrit et motivé, doit être introduit auprès de l'instance d'appel dans les 30 jours à compter de la notification de la décision, laquelle doit être jointe au dossier d'appel.</w:t>
      </w:r>
    </w:p>
    <w:p>
      <w:r>
        <w:rPr>
          <w:b/>
        </w:rPr>
        <w:t>E. 1.5</w:t>
      </w:r>
    </w:p>
    <w:p>
      <w:r>
        <w:t>En l'occurrence, l'acte d'appel formé a été déposé au greffe de la Cour de céans dans le délai légal de 30 jours, compte tenu de la suspension des délais entre le 15 juillet et le 15 août (art. 145 al. 1 let. b CPC).</w:t>
      </w:r>
    </w:p>
    <w:p>
      <w:r>
        <w:t>- 8/14 -</w:t>
      </w:r>
    </w:p>
    <w:p>
      <w:r>
        <w:t>C/549/2014 Par ailleurs, l'appelante énonce les griefs de fait ou de droit qui, à ses yeux, justifient l'appel. L'appel est dès lors recevable.</w:t>
      </w:r>
    </w:p>
    <w:p>
      <w:r>
        <w:rPr>
          <w:b/>
        </w:rPr>
        <w:t>E. 2</w:t>
      </w:r>
    </w:p>
    <w:p>
      <w:r>
        <w:t>L'appelante ne conteste pas que la diminution du taux hypothécaire justifie une réduction de loyer de 13.04%, ni qu'une hausse de 1.76% se justifie en compensation du renchérissement. Seule reste ainsi litigieuse la question de la variation des charges.</w:t>
      </w:r>
    </w:p>
    <w:p>
      <w:r>
        <w:rPr>
          <w:b/>
        </w:rPr>
        <w:t>E. 2.1</w:t>
      </w:r>
    </w:p>
    <w:p>
      <w:r>
        <w:t>En vertu de l'art. 270a al.1 CO, le locataire peut contester le montant du loyer et en demander la diminution pour le prochain terme de résiliation, s'il a une raison d'admettre que la chose louée procure au bailleur un rendement excessif au sens des art. 269 et 269a, à cause d'une notable modification des bases de calcul, résultant en particulier d'une baisse des frais. A teneur de l'art. 269a let. b et e CO, ne sont en règle générale pas abusifs les loyers qui sont justifiés par des hausses de coûts et qui ne compensent que le renchérissement pour le capital exposé aux risques. Le critère de la hausse des coûts de l'article 269a let. b CO se réfère également à l'évolution des charges courantes et des charges d'entretien. En tant que critère relatif de fixation du loyer, la hausse des coûts peut être invoquée à l'appui d'une demande de baisse ou de hausse de loyer en cours de bail. Elle peut être cumulée ou compensée avec d'autres critères relatifs de fixation de loyer (BOHNET/BROQUET, Droit du bail à loyer, Commentaire pratique, Bâle, 2010, no 29 ad art. 269a CO). Ce critère peut être également invoqué en compensation de la baisse de loyer induite par l'évolution du taux d'intérêt hypothécaire de référence (ATF 106 II 356 consid. 5; MP 1996 p. 140; LACHAT, le bail à loyer, Lausanne 2008, p. 545; WEBER, Commentaire bâlois, no 17 ad art. 269a CO; HIGI, Commentaire zurichois, no 404 ad art. 269a CO). Les autres coûts qui justifient une hausse de loyer sont énoncés à l'art. 12 al. 1 OBLF. Il s'agit des coûts compris dans le loyer net, comme les taxes, les impôts sur les immeubles, les rentes de droit de superficie, les primes d'assurances liées à l'immeuble ainsi que les frais d'entretien. Cette énumération n'est pas exhaustive. Il convient d'exclure des charges courantes les frais accessoires prévus par le contrat (BOHNET/BROQUET, op. cit., no 49 ad art. 269a CO). Les honoraires de gérance ne doivent pas dépasser les taux usuellement pratiqués. Le bailleur qui administre lui-même l'immeuble peut y prétendre (LACHAT, op. cit., p. 443; SVIT-Kommentar, no 37 ad art. 269 CO).</w:t>
      </w:r>
    </w:p>
    <w:p>
      <w:r>
        <w:t>- 9/14 -</w:t>
      </w:r>
    </w:p>
    <w:p>
      <w:r>
        <w:t>C/549/2014 Les travaux d'entretien peuvent être inclus dans les charges, dès qu'ils ont été exécutés et facturés (LACHAT, op. cit., p. 444). Sont en revanche exclus les frais de publicité pour la relocation des locaux et les frais d'avocat (LACHAT, op. cit., p. 443-444). Si l'on constate une brusque variation des frais d'entretien d'un exercice à l'autre, il convient d'analyser les raisons d'un tel changement. Lorsque le propriétaire a assumé une dépense extraordinaire (par exemple, remplacement d'une chaudière, de l'ascenseur, etc.), ou des travaux importants correspondant à de l'entretien différé, on procédera à un étalement sur plusieurs exercices, en fonction de la « durée de vie » des installations (LACHAT, op. cit., p. 444). Si le bailleur a procédé à des travaux à plus-value, il n'y a pas lieu de les inclure dans les charges (LACHAT, op. cit., p. 444). Sont réputés prestations supplémentaires du bailleur au sens de l'art. 269a let. b CO les investissements qui aboutissent à des améliorations créant des plus-values, l'agrandissement de la chose louée ainsi que les prestations accessoires supplémentaires. En règle générale, les frais causés par d'importantes réparations sont considérés, à raison de 50 à 70%, comme des investissements créant des plus-values (art. 14 al. 1 OBLF). Seules les « importantes rénovations » sont visées par l'art. 14 al. 1 in fine OBLF. Il doit s'agir de travaux extraordinaires, dépassant manifestement l'entretien normal, concernant simultanément plusieurs parties essentielles de l'immeuble et d'un coût élevé (au regard de l'état locatif) (ATF 118 II 415, consid. 3a; BOHNET/BROQUET, op. cit., no 68 ad art. 269a CO). Les travaux qui ne correspondent qu'à l'entretien différé, et ne comportent aucun élément de plus- value ne peuvent pas être considérés comme de « grandes réparations »; à ce titre, ils ne justifient aucune majoration de loyer (LACHAT, op. cit., p. 480). A titre d'exemples d'importantes rénovations, il convient de mentionner la réfection de la toiture et/ou des façades, le remplacement des sanitaires et des tuyauteries, la réfection des salles de bain, de la distribution d'eau, de l'agencement des cuisines etc. (LACHAT, op. cit., p. 480). Si, par le passé, le bailleur n'a consenti que peu de frais pour l'entretien de l'immeuble, on doit admettre que les importantes réparations entreprises correspondent surtout à un entretien différé duquel il ne ressort qu'une modeste plus-value. Il pourra également être tenu compte de l'importance des frais engagés comparé à l'état locatif de l'immeuble. Toutefois, le rapport entre les frais et les recettes de loyer ne constitue pas un indice pour des prestations supplémentaires si les dépenses pour l'entretien de l'immeuble ont été limitées pendant les dix dernières années (BOHNET/BROQUET, op. cit., nos 72-73 ad art. 269a CO).</w:t>
      </w:r>
    </w:p>
    <w:p>
      <w:r>
        <w:t>- 10/14 -</w:t>
      </w:r>
    </w:p>
    <w:p>
      <w:r>
        <w:t>C/549/2014</w:t>
      </w:r>
    </w:p>
    <w:p>
      <w:r>
        <w:rPr>
          <w:b/>
        </w:rPr>
        <w:t>E. 2.2</w:t>
      </w:r>
    </w:p>
    <w:p>
      <w:r>
        <w:t>Pour déterminer de manière concrète l'évolution, à la hausse ou à la baisse, des charges courantes et d'entretien, on calculera en règle générale deux moyennes. Conformément à la méthode relative, le juge doit ainsi comparer la moyenne des charges antérieures à la dernière fixation de loyer avec celle des charges antérieures à la demande de baisse de loyer ou de majoration de loyer litigieuse (BOHNET/BROQUET, op. cit., no 51 ad art. 269a CO; LACHAT, op. cit., p. 474-475). Le nombre d'exercices n'étant pas précisé dans la loi, c'est la doctrine et la jurisprudence qui précisent que trois années sont suffisantes pour établir une moyenne fiable (ATF 111 II 380, consid. 2; ATF 106 II 362, consid. 5b; BOHNET/BROQUET, op. cit., no 51 ad art. 269a CO; LACHAT, op. cit., p. 475). L'augmentation (ou la diminution) de la moyenne des charges doit être mise en rapport avec l'état locatif de l'immeuble au jour de la dernière fixation du loyer (ATF 106 II 356 consid. 5b; SJ 1981 p. 504 consid 3b; BOHNET/BROQUET, op. cit., no 52 ad art. 269a CO; LACHAT, op. cit., p. 477). Le revenu à prendre en considération correspond à l'état locatif, soit la somme de tous les loyers nets de l'immeuble y compris les loyers impayés et ceux de logements vacants, le locataire ne devant pas pâtir du fait que d'autres locataires seraient en retard dans le paiement de leur loyer ou que les locaux ne seraient pas tous occupés (BOHNET/BROQUET, op. cit., no 52 ad art. 269a CO). Les charges courantes et d'entretien doivent être comptabilisées en fonction de leur montant effectif et non pas sur la base de forfaits (BOHNET/BROQUET, op. cit., no 54 ad art. 269a CO; LACHAT, op. cit., p. 473).</w:t>
      </w:r>
    </w:p>
    <w:p>
      <w:r>
        <w:rPr>
          <w:b/>
        </w:rPr>
        <w:t>E. 2.3</w:t>
      </w:r>
    </w:p>
    <w:p>
      <w:r>
        <w:t>En vertu des art. 8 CC et 20 al. 1 OBLF, lorsque le bailleur entend majorer le loyer en raison d'une augmentation de ses charges ou s'opposer à une demande de diminution de loyer, il doit prouver respectivement l'augmentation et l'absence de baisse de charges au moyen de pièces comptables. Lorsque le locataire demande une diminution de loyer en alléguant la baisse des charges de l'immeuble, c'est à lui qu'il incombe de démontrer cette baisse. Cependant, les documents probants étant en possession du bailleur, il revient à celui-ci de présenter toutes les pièces nécessaires à l'appréciation du litige (BOHNET/BROQUET, op. cit., no 56 ad art. 269a CO).</w:t>
      </w:r>
    </w:p>
    <w:p>
      <w:r>
        <w:rPr>
          <w:b/>
        </w:rPr>
        <w:t>E. 2.4</w:t>
      </w:r>
    </w:p>
    <w:p>
      <w:r>
        <w:t>Dans le cas présent, il convient de déterminer le montant devant être pris en compte pour les postes « frais indirects communs », « entretien des appartements » et « entretien immeuble ». a) Du poste « frais indirects communs » : L'appelante soutient qu'il convient d'ajouter aux charges d'entretien le montant compris dans le poste « frais indirects communs ». Elle relève que ces montants</w:t>
      </w:r>
    </w:p>
    <w:p>
      <w:r>
        <w:t>- 11/14 -</w:t>
      </w:r>
    </w:p>
    <w:p>
      <w:r>
        <w:t>C/549/2014 correspondent à la masse salariale de son personnel administratif et à ses frais généraux. Or, les pièces produites ne permettent pas de déterminer avec précision le contenu du poste « frais indirects communs ». En effet, l'appelante s'est contentée de produire des fichiers informatiques qui mentionnent par exemple « frais administratifs » ou « frais généraux », sans plus de précision. Dès lors, elle n'est pas parvenue à démontrer la réalité des montants invoqués dans le poste « frais indirects communs ». C'est ainsi à bon droit que les premiers juges ont écarté ce poste, faute de pouvoir en déterminer la nature exacte. b) Du poste « entretien des appartements » : Pour ce poste, l'appelante fait grief aux premiers juges d'avoir considéré que les travaux entrepris, durant les années 2011/2012 et 2012/2013, étaient des travaux à plus-value en vertu de l'art. 14 al. 1 OBLF ne devant pas être pris en compte dans le calcul des charges courantes de l'immeuble. L'appelante soutient qu'il s'agit de travaux d'entretien devant être pris en compte dans le calcul desdites charges. L'appelante a transmis en première instance plusieurs factures relatives aux travaux entrepris dans les appartements sis dans l'immeuble 14, rue C______. L'examen de ces factures révèle qu'il s'agit de travaux d'entretien des appartements litigieux et non pas de travaux à plus-value. En effet, les pièces produites font état notamment du contrôle d'un vélux, du contrôle d'un store de la cuisine, du contrôle des interrupteurs, de la réparation d'un meuble de cuisine, de la réfection des joints en silicone de la salle de bains, du changement d'un lavabo, de la réparation partielle d'un éclat d'émail sur la baignoire, de travaux de peinture, du contrôle de l'éclairage de la cuisine, de travaux de plomberie dans la cuisine. Il ne s'agit pas là de travaux extraordinaires dépassant l'entretien normal des logements situés dans l'immeuble considéré. Au contraire, il est fréquent pour le bailleur de remettre en état les appartements avant de les relouer à des nouveaux locataires. Par ailleurs, l'appelante a précisé que les dépenses pour l'entretien de l'immeuble avaient été limitées durant les dernières années, ainsi que cela ressort des pièces produites en première instance. Il convient toutefois d'imputer du montant allégué par l'appelante le montant contenu dans la colonne SP/E-L du document intitulé « montants du compte d'exploitation ». L'appelante a en effet retenu que la part de l'immeuble litigieux correspondait à 6.374% de l'ensemble de son parc immobilier. Elle a ainsi pris en</w:t>
      </w:r>
    </w:p>
    <w:p>
      <w:r>
        <w:t>- 12/14 -</w:t>
      </w:r>
    </w:p>
    <w:p>
      <w:r>
        <w:t>C/549/2014 compte un montant correspondant à 6.374% du montant total relatif au poste « entretien des appartements » contenu dans la colonne SP/E-L dudit tableau. Or, le pourcentage relatif à la part de l'immeuble litigieux n'a aucunement été démontré par l'appelante de telle sorte qu'il n'est pas possible d'en tenir compte dans le calcul des charges courantes de l'immeuble. Ainsi, pour le poste « entretien des appartements », il convient de retenir un montant de 38'606 fr. pour l'année 2011/2012 et un montant de 20'488 fr. pour l'année 2012/2013. c) Du poste « entretien immeuble » : L'appelante reproche aux premiers juges d'avoir retenu uniquement les montants contenus dans la colonne « L-JT14 » du document intitulé « montants du compte d'exploitation » pour déterminer le montant du poste « entretien immeuble ». Elle considère qu'il fallait appliquer le pourcentage de 6.374% aux montants contenus dans la colonne « SP/E-L » du document précité. Or, comme relevé ci- dessus, ce pourcentage n'a aucunement été démontré par l'appelante, de telle sorte que c'est à bon droit que les premiers juges ont uniquement retenu les montants allégués dans la colonne « L-JT14 » du document « montants du compte d'exploitation » pour le poste « entretien immeuble ». d) L'évolution des charges d'entretien de l'immeuble à retenir est ainsi la suivante :</w:t>
      </w:r>
    </w:p>
    <w:p>
      <w:r>
        <w:t>2001-2002 2002-2003 2003-2004 2010-2011 2011-2012 2012-2013 Frais indirects communs 0 fr. 0 fr.. 0 fr.. 0 fr. 0 fr. 0 fr. Entretien appartements 923 fr. 4'076 fr. 4'100 fr. 5'651 fr. 38'606 fr. 20'488 fr. Services industriels 5'461 fr. 9'385 fr. 5'204 fr. 4'964 fr. 5'036 fr. 5'157 fr. Conciergerie 8'592 fr. 10'355 fr. 9'712 fr. 7'510 fr. 8'120 fr. 8'836 fr. Assurances 4'472 fr. 2'291 fr. -135 fr. 2'559 fr. 2'588 fr. 2'726 fr. Entretien immeuble 4'486 fr. 4'621 fr. 3'393 fr. 8'944 fr. 9'199 fr. 9'413 fr.</w:t>
      </w:r>
    </w:p>
    <w:p>
      <w:r>
        <w:t>- 13/14 -</w:t>
      </w:r>
    </w:p>
    <w:p>
      <w:r>
        <w:t>C/549/2014 Aménagements extérieurs 2'302 fr. 2'888 fr. 3'728 fr. 2'389 fr. 1'915 fr. 1'449 fr. Total 26'236 fr. 33'616 fr. 26'002 fr. 32'017 fr. 65'464 fr. 48'069 fr.</w:t>
      </w:r>
    </w:p>
    <w:p>
      <w:r>
        <w:t>La moyenne des charges courantes et d'exploitation des années 2001 à 2004 s'établit ainsi à 28'618 fr. alors que celle des années 2010 à 2013 s'établit à 48'517 fr., soit une différence de 19'899 fr. L'état locatif de l'immeuble en date du 30 avril 2005 s'élevait à 161'949 fr. Rapporté à l'état locatif de l'immeuble en date du 30 avril 2005 (161'949 fr.), l'augmentation intervenue est de 12.28%. En résumé : - Evolution du taux hypothécaire :</w:t>
      </w:r>
    </w:p>
    <w:p>
      <w:r>
        <w:t>- 13.04% - Variation des charges :</w:t>
      </w:r>
    </w:p>
    <w:p>
      <w:r>
        <w:t>+ 12.28% - Compensation du renchérissement :</w:t>
      </w:r>
    </w:p>
    <w:p>
      <w:r>
        <w:t>+ 1.76% - Total :</w:t>
      </w:r>
    </w:p>
    <w:p>
      <w:r>
        <w:t>+ 1% La baisse de loyer a ainsi été intégralement compensée par la compensation du renchérissement et par la variation des charges d'entretien de l'immeuble. Le jugement querellé doit par conséquent être annulé et l'intimé débouté de ses conclusions.</w:t>
      </w:r>
    </w:p>
    <w:p>
      <w:r>
        <w:rPr>
          <w:b/>
        </w:rPr>
        <w:t>E. 3</w:t>
      </w:r>
    </w:p>
    <w:p>
      <w:r>
        <w:t>A teneur de l'art. 22 LaCC, il n'est pas prélevé de frais dans les causes soumises à la juridiction des baux et loyers, étant rappelé que l'art. 116 al. 1 CPC autorise les cantons à prévoir des dispenses de frais dans d'autres litiges que ceux visés à l'art. 114 CPC (arrêt du Tribunal fédéral 4A_607/2012 du 21 février 2013 consid. 2.6). * * * * *</w:t>
      </w:r>
    </w:p>
    <w:p>
      <w:r>
        <w:t>- 14/14 -</w:t>
      </w:r>
    </w:p>
    <w:p>
      <w:r>
        <w:t>C/549/2014 PAR CES MOTIFS, La Chambre des baux et loyers : A la forme : Déclare recevable l'appel interjeté par la SOCIETE COOPERATIVE A______ contre le jugement JTBL/733/2015 rendu par le Tribunal des baux et loyers le 11 juin 2015 dans la cause C/549/2014-4. Au fond : Annule ce jugement. Ceci fait et statuant à nouveau : Déboute B______ des fins de sa demande de baisse de loyer. Dit que la procédure est gratuite. Déboute les parties de toutes autres conclusions. Siégeant : Madame Fabienne GEISINGER-MARIÉTHOZ, présidente; Madame Pauline ERARD, Monsieur Ivo BUETTI, juges; Madame Laurence CRUCHON, Monsieur Serge PATEK, juges assesseurs; Madame Maïté VALENTE, greffière.</w:t>
      </w:r>
    </w:p>
    <w:p>
      <w:r>
        <w:t>La présidente : Fabienne GEISINGER-MARIÉTHOZ</w:t>
      </w:r>
    </w:p>
    <w:p>
      <w:r>
        <w:t>La greffière : Maïté VALENTE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