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ACJC/1543/2017 vom 14. Dezember 2017</w:t>
      </w:r>
    </w:p>
    <w:p>
      <w:r>
        <w:t>GE Cour de justice, 2017-12-14, FR</w:t>
      </w:r>
    </w:p>
    <w:p>
      <w:r>
        <w:rPr>
          <w:b/>
        </w:rPr>
        <w:t xml:space="preserve">Quelle: </w:t>
      </w:r>
      <w:r>
        <w:t>https://mcp.opencaselaw.ch/entscheid/ge_gerichte_ACJC_1543_2017</w:t>
      </w:r>
    </w:p>
    <w:p>
      <w:r>
        <w:t>FR: GE_GERICHTE ACJC/1543/2017 du 14 décembre 2017</w:t>
      </w:r>
    </w:p>
    <w:p>
      <w:r>
        <w:t>IT: GE_GERICHTE ACJC/1543/2017 del 14 dicembre 2017</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et 311 al. 1 CPC) par une partie qui y a intérêt (cf. art. 59 al. 2 let. a CPC), l'appel est recevable.</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Les deux conditions sont cumulatives (JEANDIN, op. cit., n. 6 ad art. 317 CPC). La Cour examine d'office la recevabilité des faits et les moyens de preuve nouveaux en appel (REETZ/HILBER, Kommentar zur Schweizerischen Zivilprozessordnung [ZPO], 2013, n. 26 ad art. 317 CPC).</w:t>
      </w:r>
    </w:p>
    <w:p>
      <w:r>
        <w:t>Les faits notoires ou notoirement connus du tribunal et les règles d'expérience généralement reconnues ne doivent pas être prouvés (art. 151 CPC).</w:t>
      </w:r>
    </w:p>
    <w:p>
      <w:r>
        <w:t>- 11/17 -</w:t>
      </w:r>
    </w:p>
    <w:p>
      <w:r>
        <w:t>C/24170/2015</w:t>
      </w:r>
    </w:p>
    <w:p>
      <w:r>
        <w:rPr>
          <w:b/>
        </w:rPr>
        <w:t>E. 2.2</w:t>
      </w:r>
    </w:p>
    <w:p>
      <w:r>
        <w:t>En l'espèce, l'intimée produit devant la Cour des pièces non soumises au Tribunal. Ces pièces, accessibles à tous sur le site de la Confédération, sont des faits notoires, et, partant, recevables.</w:t>
      </w:r>
    </w:p>
    <w:p>
      <w:r>
        <w:rPr>
          <w:b/>
        </w:rPr>
        <w:t>E. 3</w:t>
      </w:r>
    </w:p>
    <w:p>
      <w:r>
        <w:t>L'appelante reproche tout d'abord au Tribunal d'avoir établi les faits de manière inexacte en omettant de retenir que les données relatives à l'intimée avaient d'ores et déjà été transmises aux autorités américaines dans le cadre de la procédure d'auto-dénonciation entreprise par les ayants-droit économiques des comptes litigieux ouverts en ses livres. Elle soutient que le Tribunal aurait en conséquence mal apprécié l'intérêt de l'intimée à s'opposer à la communication des données litigieuses.</w:t>
      </w:r>
    </w:p>
    <w:p>
      <w:r>
        <w:rPr>
          <w:b/>
        </w:rPr>
        <w:t>E. 3.1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3.2</w:t>
      </w:r>
    </w:p>
    <w:p>
      <w:r>
        <w:t>En l'espèce, il n'est pas contesté que les ayants-droit économiques des comptes litigieux ont participé à la procédure de Voluntary disclosure. En revanche, il n'est aucunement établi que, dans ce cadre, le nom de l'intimée ait été communiqué aux autorités américaines, les pièces partiellement caviardées produites par l'intimée étant insuffisantes à cet égard. De plus, l'intimée a déclaré qu'elle n'avait pas eu accès aux dossiers des clients de l'appelante qui s'étaient auto-dénoncés, de sorte qu'elle ignorait si son nom avait été communiqué aux autorités américaines. Dans ces conditions, le Tribunal a refusé à bon droit de tenir pour établi que les informations relatives à l'intimée avaient déjà été communiquées aux autorités américaines. Il est de surcroît relevé que les autorités fiscales américaines (IRS) auxquelles ces informations auraient été transmises sont apparemment distinctes des autorités pénales (DoJ) auxquelles le présent procès tend à éviter que ces informations ne soient communiquées.</w:t>
      </w:r>
    </w:p>
    <w:p>
      <w:r>
        <w:t>Le grief est infondé et le jugement sera confirmé sur ce point.</w:t>
      </w:r>
    </w:p>
    <w:p>
      <w:r>
        <w:rPr>
          <w:b/>
        </w:rPr>
        <w:t>E. 4</w:t>
      </w:r>
    </w:p>
    <w:p>
      <w:r>
        <w:t>L'appelante reproche ensuite au Tribunal d'avoir considéré que la transmission de données relatives à l'intimée dans le cadre du US Program était illicite au regard de la LPD, en partant de la prémisse que les Etats-Unis ne disposaient pas d'une législation assurant un niveau de protection adéquat.</w:t>
      </w:r>
    </w:p>
    <w:p>
      <w:r>
        <w:rPr>
          <w:b/>
        </w:rPr>
        <w:t>E. 4.1</w:t>
      </w:r>
    </w:p>
    <w:p>
      <w:r>
        <w:t>En matière de traitement de données, la LPD concrétise et complète l'art. 28 CC (arrêt du Tribunal fédéral 5A_22/2013 du 30 juin 2014 consid. 2.4.2 et les références doctrinales citées).</w:t>
      </w:r>
    </w:p>
    <w:p>
      <w:r>
        <w:t>- 12/17 -</w:t>
      </w:r>
    </w:p>
    <w:p>
      <w:r>
        <w:t>C/24170/2015</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ad art. 6 LPD n. 27).</w:t>
      </w:r>
    </w:p>
    <w:p>
      <w:r>
        <w:t>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w:t>
      </w:r>
    </w:p>
    <w:p>
      <w:r>
        <w:t>Selon la liste publiée par le Préposé mise à jour au 6 avril 2017, seuls les organismes qui adhèrent au Privacy Shield pour les données provenant de Suisse et qui figurent sur la liste du Département américain du commerce garantissent un niveau de protection adéquat au sens de l'art. 6 al. 1 LPD (art. 7 OLPD).</w:t>
      </w:r>
    </w:p>
    <w:p>
      <w:r>
        <w:rPr>
          <w:b/>
        </w:rPr>
        <w:t>E. 4.2</w:t>
      </w:r>
    </w:p>
    <w:p>
      <w:r>
        <w:t>En l'espèce, il est établi que la transmission de données personnelles de la Suisse vers les Etats-Unis peut désormais s'inscrire dans le cadre d'un nouvel accord dénommé Privacy Shield,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Préposé considère que les données échangées avec les entreprises</w:t>
      </w:r>
    </w:p>
    <w:p>
      <w:r>
        <w:t>- 13/17 -</w:t>
      </w:r>
    </w:p>
    <w:p>
      <w:r>
        <w:t>C/24170/2015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 dessus que la législation américaine permet aux autorités en question d'écarter toute protection des données privées lorsqu'elles estiment que l'intérêt public des Etats-Unis est en jeu, comme c'est le cas en l'espèce. Le Tribunal a dès lors correctement retenu que les autorités américaines n'offraient pas un niveau de protection suffisant à la transmission des données litigieuses aux autorités américaines et la mise en place du Privacy Shield ne change rien à ce qui précède.</w:t>
      </w:r>
    </w:p>
    <w:p>
      <w:r>
        <w:t>Le grief sera en conséquence écarté et le jugement confirmé sur ce point également.</w:t>
      </w:r>
    </w:p>
    <w:p>
      <w:r>
        <w:rPr>
          <w:b/>
        </w:rPr>
        <w:t>E. 5</w:t>
      </w:r>
    </w:p>
    <w:p>
      <w:r>
        <w:t>L'appelante reproche au Tribunal de ne pas avoir retenu que la communication des données litigieuses était licite, dans la mesure où elle reposait sur l'un des motifs justificatifs prévus par la loi, à savoir l'existence d'un intérêt public prépondérant.</w:t>
      </w:r>
    </w:p>
    <w:p>
      <w:r>
        <w:rPr>
          <w:b/>
        </w:rPr>
        <w:t>E. 5.1</w:t>
      </w:r>
    </w:p>
    <w:p>
      <w:r>
        <w:t>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w:t>
      </w:r>
    </w:p>
    <w:p>
      <w:r>
        <w:t>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w:t>
      </w:r>
    </w:p>
    <w:p>
      <w:r>
        <w:t>En exigeant que l'intérêt public soit prépondérant, l'art. 6 al. 2 let. d LPD implique une pesée entre les intérêts privés des personnes concernées et l'intérêt public retenu. L'existence de l'intérêt public prépondérant doit être évaluée dans chaque</w:t>
      </w:r>
    </w:p>
    <w:p>
      <w:r>
        <w:t>- 14/17 -</w:t>
      </w:r>
    </w:p>
    <w:p>
      <w:r>
        <w:t>C/24170/2015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La preuve de l'existence d'un motif justificatif au sens de l'art. 6 al. 2 LPD appartient à celui qui exporte les données (art. 8 CC; MEIER, op. cit., n. 1311; ROSENTHAL/JÖHRI, op. cit., n. 36 i.f ad art. 6 LPD).</w:t>
      </w:r>
    </w:p>
    <w:p>
      <w:r>
        <w:rPr>
          <w:b/>
        </w:rPr>
        <w:t>E. 5.2</w:t>
      </w:r>
    </w:p>
    <w:p>
      <w:r>
        <w:t>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w:t>
      </w:r>
    </w:p>
    <w:p>
      <w:r>
        <w:t>L'appelante ne démontre cependant pas que cet intérêt public imposerait en l'espèce la communication des données litigieuses, et ce de manière prépondérante par rapport à l'intérêt de l'intimée de s'opposer à une telle communication. Il est en effet établi que l'appelante est parvenue à signer un accord de non-poursuite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l'intimée.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w:t>
      </w:r>
    </w:p>
    <w:p>
      <w:r>
        <w:t>- 15/17 -</w:t>
      </w:r>
    </w:p>
    <w:p>
      <w:r>
        <w:t>C/24170/2015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w:t>
      </w:r>
    </w:p>
    <w:p>
      <w:r>
        <w:t>Contrairement à ce que soutient l'appelante, l'intimée conserve pour sa part un intérêt important à ce que des données la concernant ne soient pas transmises aux autorités américaines, étant relevé à cet égard qu'une fois en possession de ces données, les autorités pourraient facilement déterminer les personnes physiques agissant pour le compte de l'intimée. Dès lors, il ne peut être tiré argument du fait que seul le nom de l'intimée serait transmis, à l'exclusion de celui de ses employés ou de ses membres, ni de celui que l'intimée est une entité off-shore, agissant uniquement comme signataire, administratrice ou director, des titulaires des comptes litigieux. Il est en effet reconnu que les individus dont les données figurent sur les documents transmis aux autorités américaines - ou qui peuvent être facilement identifiés sur la base des données transmises, comme en l'espèce - courent le risque d'être retenus pour être interrogés, voire inculpés, au cas où ils se rendraient sur le sol américain, ces situations s'étant concrètement présentées pour certains d'entre eux.</w:t>
      </w:r>
    </w:p>
    <w:p>
      <w:r>
        <w:t>Même si ce risque est ténu dans le cas particulier, les comptes sur lesquels l'intimée avait pouvoir de signature ayant été clôturés et ayant fait l'objet d'une Voluntary disclosure, il ne peut être considéré comme purement théorique, compte tenu de la détermination affichée des autorités américaines de poursuivre toutes les personnes impliquées de près ou de loin dans l'évasion fiscale de contribuables du fisc américain.</w:t>
      </w:r>
    </w:p>
    <w:p>
      <w:r>
        <w:t>Enfin, comme relevé ci-dessus, il n'est par ailleurs pas établi que les données litigieuses concernant l'intimée auraient été déjà transmises aux autorités américaines, notamment aux autorités de poursuite pénale dans le cadre d'une procédure d'auto-dénonciation, de sorte que l'intimée n'aurait plus d'intérêt à s'opposer à la transmission des données en question. Au surplus, le fait que l'intimée n'ait pas requis l'interdiction de communiquer sollicitée par voie de mesures provisionnelles avant d'agir au fond en prévention d'atteinte à la personnalité ne permet pas d'exclure que celle-ci dispose d'un intérêt concret à empêcher la transmission de données la concernant aux autorités américaines dans le cadre du US Program. La communication envisagée demeure par conséquent susceptible de porter gravement atteinte à la personnalité de l'intimée, étant rappelé que le Non Prosecution Agreement autorise expressément le DoJ à utiliser les données transmises pour poursuivre des personnes physiques.</w:t>
      </w:r>
    </w:p>
    <w:p>
      <w:r>
        <w:t>Au vu de ce qui précède, et dans la mesure où une dérogation fondée sur l'intérêt public doit être admise avec retenue, la décision du premier juge de refuser</w:t>
      </w:r>
    </w:p>
    <w:p>
      <w:r>
        <w:t>- 16/17 -</w:t>
      </w:r>
    </w:p>
    <w:p>
      <w:r>
        <w:t>C/24170/2015 d'admettre, comme motif justificatif, la nécessité de sauvegarder un intérêt public prépondérant n'est pas critiquable.</w:t>
      </w:r>
    </w:p>
    <w:p>
      <w:r>
        <w:t>Le grief est infondé et le jugement sera confirmé.</w:t>
      </w:r>
    </w:p>
    <w:p>
      <w:r>
        <w:rPr>
          <w:b/>
        </w:rPr>
        <w:t>E. 6</w:t>
      </w:r>
    </w:p>
    <w:p>
      <w:r>
        <w:t>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w:t>
      </w:r>
    </w:p>
    <w:p>
      <w:r>
        <w:t>L'appelante sera en outre condamnée à verser à l'intimée la somme de 5'000 fr. à titre de dépens d'appel (art. 105 al. 2 CPC, art. 84, 86 et 90 RTFMC), débours et TVA inclus (art. 25 et 26 LaCC). * * * * *</w:t>
      </w:r>
    </w:p>
    <w:p>
      <w:r>
        <w:t>- 17/17 -</w:t>
      </w:r>
    </w:p>
    <w:p>
      <w:r>
        <w:t>C/24170/2015 PAR CES MOTIFS, La Chambre civile : A la forme : Déclare recevable l'appel interjeté par A______ contre le jugement JTPI/6512/2017 rendu le 17 mai 2017 par le Tribunal de première instance dans la cause C/24170/2015- 2.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