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ACJC/1542/2020 vom 9. November 2020</w:t>
      </w:r>
    </w:p>
    <w:p>
      <w:r>
        <w:t>GE Cour de justice, 2020-11-09, FR</w:t>
      </w:r>
    </w:p>
    <w:p>
      <w:r>
        <w:rPr>
          <w:b/>
        </w:rPr>
        <w:t xml:space="preserve">Quelle: </w:t>
      </w:r>
      <w:r>
        <w:t>https://mcp.opencaselaw.ch/entscheid/ge_gerichte_ACJC_1542_2020</w:t>
      </w:r>
    </w:p>
    <w:p>
      <w:r>
        <w:t>FR: GE_GERICHTE ACJC/1542/2020 du 9 novembre 2020</w:t>
      </w:r>
    </w:p>
    <w:p>
      <w:r>
        <w:t>IT: GE_GERICHTE ACJC/1542/2020 del 9 novembre 2020</w:t>
      </w:r>
    </w:p>
    <w:p>
      <w:pPr>
        <w:pStyle w:val="Heading2"/>
      </w:pPr>
      <w:r>
        <w:t>Erwägungen</w:t>
      </w:r>
    </w:p>
    <w:p>
      <w:r>
        <w:rPr>
          <w:b/>
        </w:rPr>
        <w:t>E. 19</w:t>
      </w:r>
    </w:p>
    <w:p>
      <w:r>
        <w:t>décembre 2019 en raison d'une limitation de vitesse sur l'autoroute, de bouchons consécutifs à un accident de la circulation et parce qu'ils s'étaient rendus «sans réfléchir» au lieu où les audiences précédentes, auxquelles ils avaient participé auparavant, s'étaient tenues. m. Consécutivement à cette requête, la Commission a rendu la décision du 16 janvier 2020, objet de la présente procédure. EN DROIT 1. 1.1 A teneur de l'art. 122 let. b LOJ, la Chambre des baux et loyers de la Cour de justice connaît des recours dirigés contre les décisions au fond de la Commission de conciliation en matière de baux et loyers. 1.2 Selon l'art. 149 CPC, le tribunal statue définitivement sur la restitution. 1.2.1 Contrairement au texte de l'art. 149 CPC, si le refus de restitution entraîne la perte définitive des moyens d'annulation du congé, il constitue une décision finale, contre laquelle la voie de l'appel ou du recours est ouverte, devant la seconde instance cantonale (ATF 139 III 478 consid. 6.3).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1.2.2 En l'espèce, les appelants contestent la validité d'une résiliation de bail. Les pièces versées au dossier ne permettent pas de déterminer le montant du loyer. Par jugement du 11 juin 2019, le Tribunal a donné acte aux locataires de leur acquiescement à ce que ce loyer soit fixé à 1'900 fr. et les charges à 372 fr. 30 par mois.</w:t>
      </w:r>
    </w:p>
    <w:p>
      <w:r>
        <w:t>- 5/9 -</w:t>
      </w:r>
    </w:p>
    <w:p>
      <w:r>
        <w:t>C/20366/2019 En prenant en compte uniquement la durée de protection de trois ans et le loyer annuel susmentionné, charges comprises, la valeur litigieuse est donc supérieure à 10'000 fr. (27'267 fr. 60 x 3 ans = 81'802 fr. 80). La voie de l'appel est ainsi ouverte (art. 308 al. 2 CPC). 1.3 Selon l'art. 311 al. 1 et 2 CPC, l'appel, écrit et motivé, est introduit auprès de l'instance d'appel dans les 30 jours à compter de la notification de la décision, laquelle doit être jointe au dossier. Interjeté dans le délai et la forme prévus par la loi, l'acte du 13 février 2020 est recevable en tant qu'appel en dépit de sa dénomination (cf. arrêt du Tribunal fédéral 5A_221/2018 du 4 juin 2018 consid. 3.3.1). 1.4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faits et moyens de preuve nouveaux présentés tardivement doivent être déclarés irrecevables (JEANDIN, Commentaire romand, Code de procédure civile, 2019, n. 3 ad art. 317 CPC). En l'espèce, les appelants ont allégué des faits nouveaux et produit à l'appui de leur réplique du 15 avril 2020 une pièce nouvelle, à savoir la présentation du projet du prolongement du tram 14 par les autorités datée de février 2019, sans indiquer pour quel motif ils auraient été empêchés de les alléguer et de la produire avec leur appel, ni pourquoi la diligence requise en la matière aurait été respectée. Ces faits nouveaux et cette pièce nouvelle sont en conséquence irrecevables.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HOHL, Procédure civile, tome II, 2ème éd., 2010, n. 2314 et 2416; RETORNAZ in : Procédure civile suisse, Les grands thèmes pour les praticiens, Neuchâtel, 2010, p. 349 ss, n. 121). 2. Les appelants font griefs aux premiers juges d'avoir violé l'art. 148 CPC et constaté inexactement les faits repris ci-après, en ne retenant pas les raisons alléguées pour justifier leur défaut. Compte tenu de leur absence lors de l'audience du 19 décembre 2019, leur droit d'être entendu avait été violé.</w:t>
      </w:r>
    </w:p>
    <w:p>
      <w:r>
        <w:t>- 6/9 -</w:t>
      </w:r>
    </w:p>
    <w:p>
      <w:r>
        <w:t>C/20366/2019</w:t>
      </w:r>
    </w:p>
    <w:p>
      <w:r>
        <w:t>2.1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Une maladie subite d'une certaine gravité qui empêche la partie de se présenter ou de prendre à temps les dispositions nécessaires peut constituer un empêchement non fautif (arrêt du Tribunal fédéral 4A_163/2015 du 12 octobre 2015 consid. 4.1). L'empêchement perdure aussi longtemps que l'intéressé n'est pas en mesure, compte tenu de son état physique ou mental, d'agir en personne ou d'en charger un tiers (arrêt du Tribunal fédéral 6F_10/2009 du 24 juillet 2009 consid. 2.3).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Commentaire romand, Code de procédure civile, 2019, n. 20 ad art. 148 CPC). Ainsi, elle pourra tenir compte de nombreux facteurs pour décider si une restitution se justifie, en particulier de l'enjeu pour le requérant (une restitution pouvant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plutôt que d'un plaideur chevronné, voire d'un avocat (TAPPY, op. cit., n. 19, ad art. 148 CPC).</w:t>
      </w:r>
    </w:p>
    <w:p>
      <w:r>
        <w:t>- 7/9 -</w:t>
      </w:r>
    </w:p>
    <w:p>
      <w:r>
        <w:t>C/20366/2019 2.2 En l'espèce, les appelants ont écrit à la Commission le 20 décembre 2019, soit le lendemain de l'audience, pour solliciter la restitution de cette dernière, de sorte qu'ils ont agi dans le délai fixé par la loi.</w:t>
      </w:r>
    </w:p>
    <w:p>
      <w:r>
        <w:t>Les appelants ont cependant échoué à prouver les raisons de leur retard, se bornant à alléguer des faits à l'appui de leur requête sans les rendre vraisemblables, ni offrir des preuves permettant de démontrer ceux-ci, alors qu'ils supportent le fardeau de la preuve. Quoi qu'il en soit, les motifs allégués par les appelants pour justifier leur défaut ne sont pas suffisants pour conclure que celui-ci ne leur est pas imputable, ni constitutif d'une faute légère. Quand bien même les appelants pouvaient librement choisir leur itinéraire et leur moyen de transport pour se rendre à l'audience, ils devaient prendre leurs dispositions pour arriver à l'heure. Un prétendu abaissement de 20 km/h de la vitesse autorisée sur l'autoroute ne saurait expliquer ou justifier le retard des appelants à l'audience, pas plus que des embouteillages consécutifs à un accident de la circulation, qui n'a au demeurant aucunement été rendu vraisemblable, dans la mesure où les problèmes de densité du trafic n'ont rien d'exceptionnel au milieu de la semaine au mois de décembre dans le canton de Genève. Le lieu de l'audience figurait précisément sur la citation à comparaître, de sorte que les appelants ne pouvaient se tromper en faisant preuve d'un minimum d'attention qui pouvait être exigé d'eux et qu'ils ont commis une faute grave en ne se présentant au lieu de leur convocation. Le fait de s'être rendus finalement au bon endroit après que la Commission avait rayé la cause du rôle, ne leur est d'aucun secours. L'allégation des appelants, selon laquelle ces derniers n'ont plus les moyens financiers pour solliciter les services d'un avocat pour défendre leurs intérêts, ne justifie pas le défaut, dans la mesure où la convocation à l'audience spécifiait expressément que les parties devaient comparaître personnellement et que les appelants n'ont pas fait valoir l'une des exceptions à cette exigence prévues par la loi. Enfin, même si les appelants comparaissent en personne, ils ne sont pas inexpérimentés du fait qu'il ne s'agit pas de la première procédure judiciaire à laquelle ils sont parties et qu'ils ont déjà eu l'occasion d'être assistés par un avocat. Au vu de ce qui précède, les appelants ont échoué à prouver n'avoir pas violé les règles de prudence élémentaires conformément à la jurisprudence. La</w:t>
      </w:r>
    </w:p>
    <w:p>
      <w:r>
        <w:t>- 8/9 -</w:t>
      </w:r>
    </w:p>
    <w:p>
      <w:r>
        <w:t>C/20366/2019 Commission, en refusant de faire droit à la requête de restitution déposée le</w:t>
      </w:r>
    </w:p>
    <w:p>
      <w:r>
        <w:rPr>
          <w:b/>
        </w:rPr>
        <w:t>E. 20</w:t>
      </w:r>
    </w:p>
    <w:p>
      <w:r>
        <w:t>décembre 2019, n'a donc pas violé l'art. 148 al. 1 CPC. Dans ces circonstances, aucune violation du droit d'être entendus des appelants n'a été commise par la Commission. La décision du 16 janvier 2020 sera donc confirmée et la requête de restitution rejetée.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C/20366/2019</w:t>
      </w:r>
    </w:p>
    <w:p>
      <w:r>
        <w:t>PAR CES MOTIFS, La Chambre des baux et loyers : A la forme : Déclare recevable l'appel interjeté le 13 février 2020 par A______ et B______ contre la décision JCBL/13/2020 rendue le 16 janvier 2020 par la Commission de conciliation en matière de baux et loyers dans la cause C/20366/2019-2 ALA B/A. Au fond : Confirme cette décision.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