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ACJC/1541/2019 vom 8. November 2019</w:t>
      </w:r>
    </w:p>
    <w:p>
      <w:r>
        <w:t>GE Cour de justice, 2019-11-08, FR</w:t>
      </w:r>
    </w:p>
    <w:p>
      <w:r>
        <w:rPr>
          <w:b/>
        </w:rPr>
        <w:t xml:space="preserve">Quelle: </w:t>
      </w:r>
      <w:r>
        <w:t>https://mcp.opencaselaw.ch/entscheid/ge_gerichte_ACJC_1541_2019</w:t>
      </w:r>
    </w:p>
    <w:p>
      <w:r>
        <w:t>FR: GE_GERICHTE ACJC/1541/2019 du 8 novembre 2019</w:t>
      </w:r>
    </w:p>
    <w:p>
      <w:r>
        <w:t>IT: GE_GERICHTE ACJC/1541/2019 del 8 novembre 2019</w:t>
      </w:r>
    </w:p>
    <w:p>
      <w:pPr>
        <w:pStyle w:val="Heading2"/>
      </w:pPr>
      <w:r>
        <w:t>Erwägungen</w:t>
      </w:r>
    </w:p>
    <w:p>
      <w:r>
        <w:rPr>
          <w:b/>
        </w:rPr>
        <w:t>E. 1.1</w:t>
      </w:r>
    </w:p>
    <w:p>
      <w:r>
        <w:t>L'appel est recevable contre les décisions finales de première instance (art. 308 al. 1 let. a CPC), dans les causes non patrimoniales ou dont la valeur litigieuse, au</w:t>
      </w:r>
    </w:p>
    <w:p>
      <w:r>
        <w:t>- 10/21 -</w:t>
      </w:r>
    </w:p>
    <w:p>
      <w:r>
        <w:t>C/17001/2017 dernier état des conclusions de première instance, est supérieure à 10'000 fr. (art. 308 al. 2 CPC). En l'espèce, le litige porte sur la liquidation du régime matrimonial des parties ainsi que sur la contribution d'entretien due à l'ex-épouse, dans une mesure supérieure à 10'000 fr. La voie de l'appel est donc ouverte.</w:t>
      </w:r>
    </w:p>
    <w:p>
      <w:r>
        <w:rPr>
          <w:b/>
        </w:rPr>
        <w:t>E. 1.2</w:t>
      </w:r>
    </w:p>
    <w:p>
      <w:r>
        <w:t>Formés dans le délai et selon la forme prescrits par la loi, l'appel et l'appel joint sont recevables (art. 130, 131, 145 al. 1 let. c, 311 al. 1 et 313 al. 1 CPC). Par souci de simplification, A______ sera désigné ci-après comme l'appelant, et B______ comme l’intimée.</w:t>
      </w:r>
    </w:p>
    <w:p>
      <w:r>
        <w:rPr>
          <w:b/>
        </w:rPr>
        <w:t>E. 2.1</w:t>
      </w:r>
    </w:p>
    <w:p>
      <w:r>
        <w:t>En l'espèce, le Tribunal a fixé les frais judiciaires à 7'000 fr., ce qui est conforme à la loi (art. 30 RTFMC) et n'est pas contesté par les parties. Compte tenu de la nature familiale du litige et du fait qu'aucune des parties n'a obtenu gain de cause devant le Tribunal, il se justifie de partager les frais judiciaires de première instance par moitié entre les parties. En effet, la capacité financière de l'appelant après versement des contributions d'entretien n'est pas à tel point supérieure à celle de l'intimée qu'il se justifie de lui faire supporter la totalité des frais de la procédure. Par conséquent, le chiffre 8 du dispositif du jugement sera annulé et les frais judiciaires de première instance, arrêtés à 7'000 fr., seront mis à la charge des parties pour moitié chacune.</w:t>
      </w:r>
    </w:p>
    <w:p>
      <w:r>
        <w:t>- 19/21 -</w:t>
      </w:r>
    </w:p>
    <w:p>
      <w:r>
        <w:t>C/17001/2017 Le chiffre 9 du dispositif du jugement peut en revanche être confirmé en tant qu'il dit qu'il n'est pas alloué de dépens. Cette décision est conforme à la loi au vu de l'issue du litige et de la nature familiale de celui-ci, et au demeurant non critiquée par les parties (art. 106 al. 2 et 107 al. 1 let. c CPC). 7.2.2 Les frais judiciaires d'appel seront fixés à 5'000 fr. (art. 30 et 35 RTFMC) et mis à la charge des parties pour moitié chacune, compte tenu de la nature familiale et de l'issue du litige (art. 95 et 107 al. 1 let. c CPC). Ils seront compensés à hauteur de 4'000 fr. avec l'avance de frais du même montant versée par l'appelant (art. 111 al. 1 CPC) qui demeure acquise à l'Etat de Genève. Dès lors que l'intimée plaide au bénéfice de l'assistance juridique, sa part des frais sera provisoirement supportée par l'Etat de Genève, lequel pourra en demander le remboursement ultérieur aux conditions fixées par la loi (art. 122 al. 1 let. b et 123 al. 1 CPC; art. 19 RAJ). Compte tenu de la nature familiale du litige, chaque partie supportera ses propres dépens d'appel (art. 107 al. 1 let. c CPC). * * * * *</w:t>
      </w:r>
    </w:p>
    <w:p>
      <w:r>
        <w:t>- 20/21 -</w:t>
      </w:r>
    </w:p>
    <w:p>
      <w:r>
        <w:t>C/17001/2017 PAR CES MOTIFS, La Chambre civile : A la forme : Déclare recevable l'appel interjeté le 30 janvier 2019 par A______ contre les chiffres 2, 5, 6 et 8 du dispositif du jugement JTPI/19573/2018 rendu le 13 décembre 2018 par le Tribunal de première instance dans la cause C/17001/2017-20. Déclare recevable l'appel joint interjeté par B______ contre les chiffres 2 et 6 du dispositif dudit jugement. Au fond : Annule les chiffres 2, 5, 6 et 8 du dispositif du jugement attaqué, et statuant à nouveau sur ces points : Dit que l’entreprise "C______" est la propriété de B______. Condamne A______ à verser 135'049 fr. 40 à B______ au titre de la liquidation du régime matrimonial. Condamne A______ à verser à B______, par mois et d'avance, 3'000 fr. à titre de contribution à son entretien, dès l'entrée en force du jugement de divorce et jusqu'à l'âge AVS de A______. Dit que l'éventuelle rente invalidité dont B______ pourra bénéficier pour la période susmentionnée viendra en déduction de la contribution d'entretien fixée ci-dessus. Condamne B______ à informer A______ de toute décision de l'assurance-invalidité relative à l'octroi d'une rente invalidité en sa faveur pour la période pour laquelle la contribution susmentionnée est due. Arrête les frais judiciaires de première instance à 7'000 fr. et les met à la charge de chacune des parties par moitié. Condamne B______ à verser 3'500 fr. l'Etat de Genève, soit pour lui les Services financiers du Pouvoir judiciaire. Condamne A______ à verser 3'500 fr. l'Etat de Genève, soit pour lui les Services financiers du Pouvoir judiciaire. Confirme le jugement querellé pour le surplus. Déboute les parties de toutes autres conclusions.</w:t>
      </w:r>
    </w:p>
    <w:p>
      <w:r>
        <w:t>- 21/21 -</w:t>
      </w:r>
    </w:p>
    <w:p>
      <w:r>
        <w:t>C/17001/2017 Sur les frais : Arrête les frais judiciaires d'appel à 5'000 fr., les met à la charge de chacune des parties par moitié et dit qu'ils sont compensés avec l'avance de frais, qui reste acquise à l'Etat de Genève. Laisse provisoirement à la charge de l'Etat de Genève la part de 2'500 fr. imputée à B______. Invite les Services financiers du Pouvoir judiciaire à rembourser à A______ la somme de 1'500 fr. Dit que chaque partie supporte ses propres dépens d'appel. Siégeant : Monsieur Ivo BUETTI, président; Madame Sylvie DROIN, Madame Nathalie RAPP, juges; Madame Camille LESTEVEN, greffière. 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2.2</w:t>
      </w:r>
    </w:p>
    <w:p>
      <w:r>
        <w:t>En application du principe de la force de chose jugée partielle instituée par l'art. 315 al. 1 CPC, la Cour ne peut revoir d'office que les dispositions du jugement entrepris qui sont remises en cause en appel. En conséquence, les ch. 1, 3, 4 et 7 du dispositif du jugement querellé, non remis en cause par les parties, sont entrés en force de chose jugée. Le chiffre 8 relatif aux frais pourra encore être revu d'office en cas d'annulation de tout ou partie du jugement entrepris dans le cadre du présent appel (art. 318 al. 3 CPC).</w:t>
      </w:r>
    </w:p>
    <w:p>
      <w:r>
        <w:rPr>
          <w:b/>
        </w:rPr>
        <w:t>E. 3</w:t>
      </w:r>
    </w:p>
    <w:p>
      <w:r>
        <w:t>L'appelant a produit des pièces nouvelles en appel.</w:t>
      </w:r>
    </w:p>
    <w:p>
      <w:r>
        <w:rPr>
          <w:b/>
        </w:rPr>
        <w:t>E. 3.1</w:t>
      </w:r>
    </w:p>
    <w:p>
      <w:r>
        <w:t>Selon l'art. 317 al. 1 CPC, les faits et moyens de preuve nouveaux ne sont pris en compte au stade de l'appel que s'ils sont produits sans retard (let. a) et ne pouvaient l'être devant la première instance bien que la partie qui s'en prévaut ait fait preuve de la diligence requise (let. b).</w:t>
      </w:r>
    </w:p>
    <w:p>
      <w:r>
        <w:rPr>
          <w:b/>
        </w:rPr>
        <w:t>E. 3.2</w:t>
      </w:r>
    </w:p>
    <w:p>
      <w:r>
        <w:t>En l'espèce, les pièces n° 3 et 4 produites par l'appelant ont été établies après la date à laquelle la cause a été gardée à juger par le Tribunal, soit au 20 novembre 2018, et ont été produites sans retard. Par conséquent, elles sont recevables, ainsi que les allégués de fait s'y rapportant.</w:t>
      </w:r>
    </w:p>
    <w:p>
      <w:r>
        <w:t>- 11/21 -</w:t>
      </w:r>
    </w:p>
    <w:p>
      <w:r>
        <w:t>C/17001/2017</w:t>
      </w:r>
    </w:p>
    <w:p>
      <w:r>
        <w:rPr>
          <w:b/>
        </w:rPr>
        <w:t>E. 4</w:t>
      </w:r>
    </w:p>
    <w:p>
      <w:r>
        <w:t>L'appelant reproche au Tribunal d'avoir accordé à l'intimée une indemnité de 120'000 fr. réclamée par celle-ci en application de l'art. 164 CC. 4.1.1 Selon l'art. 164 al. 1 CC, l'époux qui voue ses soins au ménage ou aux enfants ou qui aide l'autre dans sa profession ou son entreprise a le droit de recevoir régulièrement de son conjoint un montant équitable dont il puisse disposer librement. Lorsqu'un époux a collaboré à la profession ou à l'entreprise de son conjoint dans une mesure notablement supérieure à ce qu'exige sa contribution à l'entretien de la famille, il a droit à une indemnité équitable (art. 165 al. 1 CC). Il en va de même lorsqu'un époux, par ses revenus ou sa fortune, a contribué à l'entretien de la famille dans une mesure notablement supérieure à ce qu'il devait (art. 165 al. 2 CC). Un époux ne peut élever ces prétentions lorsqu'il a fourni sa contribution extraordinaire en vertu d'un contrat de travail, de prêt ou de société ou en vertu d'un autre rapport juridique (art. 165 al. 3 CC). 4.1.2 C'est le droit matériel fédéral qui détermine le degré de précision avec lequel les faits qui fondent une prétention doivent être présentés afin que la subsomption puisse être opérée avec les dispositions topiques du droit matériel (ATF 123 III 163 consid. 3e; 108 II 337 consid. 2. et 3). Une présentation des faits est considérée comme concluante lorsque, supposé qu'elle soit vraie, elle permet de conclure à la conséquence juridique souhaitée. Les faits pertinents ne doivent pas seulement être présentés dans leurs traits essentiels, mais être décomposés en faits isolés, de manière suffisamment claire et détaillée, de sorte que la preuve ou la preuve du contraire puissent en être recueillies (ATF 127 III 365 consid. 2b; 136 III 332 consid. 3.4.2, JdT 2011 II 537; arrêts du Tribunal fédéral 4A_7/2012 du 3 avril 2012 consid. 2.3.1; 4A_646/2016 du 8 mars 2017 consid. 3.4).</w:t>
      </w:r>
    </w:p>
    <w:p>
      <w:r>
        <w:rPr>
          <w:b/>
        </w:rPr>
        <w:t>E. 4.2</w:t>
      </w:r>
    </w:p>
    <w:p>
      <w:r>
        <w:t>En l'espèce, durant toute la vie commune, l'intimée a perçu un salaire pour avoir tenu la comptabilité de "C______". Dès lors que l'intimée n'a pas allégué que ladite rémunération était si peu importante qu'il ne faudrait pas en tenir compte, il n'y a pas de place pour l'application des art. 164 al. 1 ou 165 al. 1 CC. Par ailleurs, dans la mesure où le fonds de commerce de "C______" et les machines nécessaires à son exploitation sont un bien propre de l'intimée, il ne peut être retenu que leur prix d'acquisition représentait une contribution de l'épouse à l'entretien de la famille. Il s'agissait d'un investissement personnel que l'intimée pourra réaliser en revendant le fonds de commerce et les machines, dont il n'a pas été allégué qu'elles seraient obsolètes, étant relevé qu'il n'a pas été prouvé qu'il aurait été fait appel à la garantie de 35'000 fr.</w:t>
      </w:r>
    </w:p>
    <w:p>
      <w:r>
        <w:t>Le chiffre 5 du dispositif du jugement sera donc annulé et il sera dit, conformément aux conclusions concordantes des parties, que "C______" est la propriété de l'intimée.</w:t>
      </w:r>
    </w:p>
    <w:p>
      <w:r>
        <w:t>- 12/21 -</w:t>
      </w:r>
    </w:p>
    <w:p>
      <w:r>
        <w:t>C/17001/2017</w:t>
      </w:r>
    </w:p>
    <w:p>
      <w:r>
        <w:rPr>
          <w:b/>
        </w:rPr>
        <w:t>E. 5</w:t>
      </w:r>
    </w:p>
    <w:p>
      <w:r>
        <w:t>Il n'est pas contesté que les parties étaient soumises au régime matrimonial de la participation aux acquêts. Seuls les montants retenus par le Tribunal pour certains postes sont critiqués.</w:t>
      </w:r>
    </w:p>
    <w:p>
      <w:r>
        <w:t>5.1.1 Le régime matrimonial de la participation aux acquêts (art. 181 CC) comprend les acquêts et les biens propres de chaque époux (art. 196 CC). Constituent des acquêts les biens acquis par un époux à titre onéreux pendant le régime, notamment le produit de son travail et les biens acquis en remploi de ses acquêts (art. 197 al. 1 et 2 ch. 1 et 5 CC). Sont des biens propres de par la loi les biens d'un époux qui lui appartiennent au début du régime ou qui lui échoient ensuite par succession ou à quelque autre titre gratuit (art. 198 ch. 2 CC). Tout bien d'un époux est présumé acquêt, sauf preuve du contraire (art. 200 al. 3 CC). En vertu de l'art. 204 al. 2 CC, la dissolution du régime matrimonial des parties prend effet au jour de l'introduction de la demande en divorce. Les acquêts et les biens propres de chaque époux sont disjoints dans leur composition au jour de la dissolution du régime (art. 207 al. 1 CC). La composition des actifs et passifs des comptes d'acquêts est définitivement arrêtée à cette date (arrêt du Tribunal fédéral 5C_229/2002 du 7 février 2003 consid. 3.1.1). Les biens sont estimés à leur valeur vénale. Cette valeur est, s'agissant des acquêts, en principe arrêtée au moment de la liquidation du régime matrimonial (art. 211 et 214 al. 1 CC). Si l'estimation intervient dans une procédure judiciaire, le jour où le jugement est rendu est déterminant (ATF 121 III 152 = JdT 1997 I 134). Une exception existe toutefois pour les comptes en banque, dont l'évaluation de la valeur doit s'effectuer au jour de la dissolution du régime matrimonial (ATF 136 III 209 consid. 5.2; arrêt du Tribunal fédéral 5A_598/2009 du 25 août 2010 consid. 2.1.2). Après la dissolution, il ne peut en effet plus y avoir formation de nouveaux acquêts ou accroissement de ceux-ci, ni modification du passif du compte d'acquêts (ATF 136 III 209 consid. 5.2; arrêt du Tribunal fédéral 5A_339/2015 du 18 novembre 2015 consid. 10.3). Il y a lieu à récompense, lors de la liquidation, entre les acquêts et les biens propres d'un même époux lorsqu'une dette grevant l'une des masses a été payée de deniers provenant de l'autre (art. 209 al. 1 CC). Une dette grève la masse avec laquelle elle est en rapport de connexité ou, dans le doute, les acquêts (al. 2). Chaque époux a droit à la moitié du bénéfice de l'autre (art. 215 al. 1 CC), calculé en déduisant de leurs acquêts respectifs les dettes qui les grèvent (art. 210 al. 1 CC); les créances sont compensées (art. 215 al. 2 CC). Il n'est pas tenu compte d'un déficit (art. 210 al. 2 CC). Quand le compte d'acquêts d'un des époux se solde par un déficit, celui-ci est à la charge de cet époux. Le droit suisse ne prévoit donc pas de participation d'un époux aux pertes subies par son conjoint. L'époux dont le compte d'acquêt est déficitaire peut néanmoins participer au bénéfice réalisé par</w:t>
      </w:r>
    </w:p>
    <w:p>
      <w:r>
        <w:t>- 13/21 -</w:t>
      </w:r>
    </w:p>
    <w:p>
      <w:r>
        <w:t>C/17001/2017 son conjoint (DESCHENAUX/STEINAUER/BADDELEY, Les effets du mariage, 2017, n. 1342, p. 761). 5.1.2 Pour apprécier le contenu d'un contrat, le juge doit rechercher, dans un premier temps, la réelle et commune intention des parties (interprétation subjective). Constituent des indices en ce sens non seulement la teneur des déclarations de volonté, mais encore le contexte général, soit toutes les circonstances permettant de découvrir la volonté réelle des parties, qu'il s'agisse de déclarations antérieures à la conclusion du contrat ou de faits postérieurs à celle- ci, en particulier le comportement ultérieur des parties, en tant qu'il est propre à établir quelle était leur conception au moment de conclure le contrat. Si elle aboutit, cette démarche conduit à une constatation de fait.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objective; ATF 144 III 93 consid. 5.2.2 et 5.2.3 ; arrêt du Tribunal fédéral 4A_596/2018 du</w:t>
      </w:r>
    </w:p>
    <w:p>
      <w:r>
        <w:rPr>
          <w:b/>
        </w:rPr>
        <w:t>E. 5.3</w:t>
      </w:r>
    </w:p>
    <w:p>
      <w:r>
        <w:t>Au vu de ce qui précède, c'est une somme de 66'614 fr. 40 [(191'991 fr. 19 / 2) - 29'381 fr. 19] que doit l'appelant à l'intimée au titre du partage des acquêts. En revanche, c'est à juste titre que le Tribunal a calculé la plus-value relative au premier étage de l'immeuble de l'ex-époux uniquement en fonction de cette partie de la maison et non de l'ensemble de celle-ci, les parties ne s'étant pas accordées sur l'application d'un taux de 33,88% sur cette conclusion. En effet, l'intimée réclamait une plus-value de 50% et l'appelant de 33,88%. C'est donc bien la somme de 68'435 fr. qui est due aux biens propres de l'intimée. Par conséquent, c'est une somme totale de 135'049 fr. 40 (66'614 fr. 40 + 68'435 fr.) qui est due par l'appelant à l'intimée au titre de la liquidation du régime matrimonial. Le chiffre 2 du dispositif du jugement attaqué sera modifié en ce sens. 6. Les parties ne contestent pas le principe du versement d'une contribution d'entretien en faveur de l'intimée. Seul le montant fixé par le Tribunal est critiqué.</w:t>
      </w:r>
    </w:p>
    <w:p>
      <w:r>
        <w:t>- 15/21 -</w:t>
      </w:r>
    </w:p>
    <w:p>
      <w:r>
        <w:t>C/17001/2017 6.1.1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137 III 102 consid. 4.1.1 et la référence; arrêt du Tribunal fédéral 5A_1008/2017 du 7 mars 2018 consid. 4.2.1). La loi n'impose pas de mode de calcul particulier pour fixer le montant de la contribution d'entretien de l'époux et les tribunaux jouissent d'un large pouvoir d'appréciation en la matière (art. 4 CC; ATF 134 III 577 consid. 4; arrêt du Tribunal fédéral 5A_90/2017 du 24 août 2017 consid. 3.3). 6.1.2 Pour fixer la contribution d'entretien, le juge doit en principe tenir compte du revenu effectif des parties (ATF 137 III 118 consid. 2.3; 137 III 102 consid. 4.2.2.2; arrêt du Tribunal fédéral 5A_876/2016 du 19 juin 2017 consid. 3.1.2). Parmi les revenus des parties, on considère en premier lieu le revenu du travail, c’est-à-dire le salaire ou pour un indépendant, le bénéfice net moyen des 3 ou 4 dernières années (BASTONS BULLETTI, L'entretien après divorce : méthode de calcul, montant, durée et limites, in SJ 2007 II p. 77 ss, p. 80 et 81; arrêt du Tribunal fédéral 5A_24/2018 du 21 septembre 2018 consid. 4.1 et la jurisprudence citée). On prend également en considération d'autres revenus que ceux du travail comme les rentes ou indemnités d'assurances sociales – telles les rentes de l'assurance invalidité auxquelles le créancier à droit (BASTONS BULLETTI, op. cit, p. 81 ; arrêt du Tribunal fédéral 5C_278/2002 du 28 janvier 2003 consid. 3.1, résumé in Fampra.ch 2003 p. 433). Il est également tenu compte des revenus de la fortune (BASTONS BULLETTI, op. cit, p. 81), notamment les revenus locatifs. Lorsque la fortune ne produit aucun ou qu'un faible rendement, il peut être tenu compte d'un revenu hypothétique (ATF 117 II 16 consid. 1b; arrêt du Tribunal fédéral 5A_524/2017 du 9 octobre 2017 consid. 5.1.2; DE WECK- IMMELE, in Droit matrimonial, Fond et procédure, 2016, n. 66, 70 et 83 ad art. 176 CC). 6.1.3 S'agissant des charges, plus la situation financière des parties est serrée, moins le juge devra s'écarter des principes développés pour la détermination du minimum vital au sens de l'art. 93 LP. Lorsque la situation financière des parties le permet, il est admissible de tenir compte d'autres dépenses effectives, non strictement nécessaires, soit d'un minimum vital élargi (ATF 140 III 337 consid. 4.2.3; arrêt du Tribunal fédéral 5A_329/2016 du 6 décembre 2016 consid. 4.1). En présence d'une situation financière modeste, il y a lieu de tenir compte du montant de base selon les normes d'insaisissabilité, des frais du logement, de la prime d'assurance-maladie obligatoire et des frais de transports publics (arrêt du Tribunal fédéral 5A_533/2010 du 24 novembre 2010 consid. 2.1;</w:t>
      </w:r>
    </w:p>
    <w:p>
      <w:r>
        <w:t>- 16/21 -</w:t>
      </w:r>
    </w:p>
    <w:p>
      <w:r>
        <w:t>C/17001/2017 BASTONS BULLETTI, op. cit., p. 86 et 102). Si la situation financière le permet, on peut tenir compte dans le minimum vital élargi des charges fiscales courantes (ATF 140 III 337 consid. 4.2.3; arrêt du Tribunal fédéral 5A_329/2016 précité consid. 4.2.1), des primes d'assurance-maladie complémentaire, des cotisations au 3ème pilier et du remboursement des dettes contractées pendant la vie commune pour le bénéfice de la famille, ou décidées en commun, ou dont les époux sont débiteurs solidaires (BASTONS BULLETTI, op. cit., p. 89, 90 et 102). Les bases mensuelles du droit des poursuites sont réduites de 15% pour les débiteurs domiciliés en France, le coût de la vie y étant notoirement moins élevé qu'en Suisse (SJ 2000 II 214 et DAS 66/97; ACJC/45/2019 du 10 janvier 2019 consid. 9.2; ACJC/841/2017 du 30 juin 2017 consid. 3.2.5). 6.1.4 Dans son principe, comme dans son montant et sa durée, l'obligation d'entretien doit être fixée en tenant compte des éléments énumérés de façon non exhaustive à l'art. 125 al. 2 CC (ATF 137 III 102 consid. 4.1.1; 132 III 598 consid. 9.1), notamment des expectatives de l'assurance-vieillesse et de la prévoyance professionnelle ou d'autres formes de prévoyance (ch. 8). En pratique, cette obligation est souvent fixée jusqu'au jour où le débiteur de l'entretien atteint l'âge de la retraite (ATF 132 III 593 consid. 7.2). En tous les cas, l'obligation d'entretien trouve sa limite dans la capacité contributive du débirentier, en ce sens que le minimum vital de celui-ci doit être préservé (ATF 135 III 66 consid. 1; 123 III 1 consid. 3b/bb et consid. 5 in fine; arrêt du Tribunal fédéral 5A_182/2012 du 24 septembre 2012 consid. 5.1). 6.2.1 En l'espèce, l'appelant est indépendant et il est tenu à l'obligation de verser des cotisations sociales correspondant à 9,65 %, compte tenu du fait qu'il a toujours réalisé un revenu annuel supérieur à 56'900 fr. (https://www.ahv- iv.ch/p/2.02.f). Le bénéfice net moyen de l'appelant entre 2013 et 2017 s'est élevé à 78'038 fr. 40, soit à 71'183 fr. 20 après paiement des cotisations sociales. Son revenu mensuel net moyen est ainsi de 5'932 fr. Le bien immobilier dont l'appelant est l'unique propriétaire est constitué d'une maison abritant deux appartements indépendants dont un de cinq pièces. Il est actuellement gratuitement occupé par la fille des parties qui, en contrepartie, s'acquitte du loyer du logement occupé par sa mère. Dès lors que le versement d'une contribution à l'entretien de l'intimée par l'appelant permettra à celle-ci de s'acquitter seule de son nouveau loyer, il peut être attendu de l'appelant qu'il réclame le paiement d'un loyer à sa fille. Celui-ci peut être équitablement arrêté à 1'600 fr. par mois. L'appelant ne rend pas vraisemblable qu'il sera contraint de vendre son bien immobilier pour s'acquitter du montant dû à l'intimée au titre de la liquidation du régime matrimonial. Malgré son âge et ses revenus, au vu des taux actuels des intérêts hypothécaires, d'environ 1% l'an, et dès lors que l'hypothèque actuelle représente moins de 50% de la valeur de la maison, il n'est</w:t>
      </w:r>
    </w:p>
    <w:p>
      <w:r>
        <w:t>- 17/21 -</w:t>
      </w:r>
    </w:p>
    <w:p>
      <w:r>
        <w:t>C/17001/2017 pas rendu vraisemblable que l'appelant se verra refuser une augmentation d'hypothèque de 200'000 fr. pour pouvoir s'acquitter de la créance résultant de la liquidation du régime matrimonial. Cela entraînerait en outre une hausse de ses intérêts hypothécaires de 2'000 fr. par année, soit 167 fr. par mois, dont l'appelant sera en mesure de s'acquitter. Il sera ainsi retenu que l'appelant peut réaliser un revenu total de 7'532 fr. (5'932 fr. + 1'600 fr.) par mois. Compte tenu de la diminution de la prime d'assurance-maladie de l'appelant en 2019 mais de l'augmentation de ses acomptes d'impôts, ses charges s'élèvent à 3'409 fr. 15 comprenant les intérêts hypothécaires (791 fr. 15), la prime de l'assurance-ménage (149 fr. 80), les frais de SIG (469 fr. 40), la prime d'assurance-maladie (341 fr. 90), les acomptes d'impôts (456 fr. 90) et l'entretien de base selon les normes OP (1'200 fr.). Par conséquent, l'appelant bénéficie d'un disponible mensuel de 4'122 fr. 85 (7'532 fr. - 3'409 fr. 15), voire de 3'955 fr. 85 compte tenu de la hausse des intérêts hypothécaires (estimée à 167 fr. par mois) résultant de l'augmentation de l'hypothèque. 6.2.2 Il n'est pas contesté que l'état de santé de l'intimée l'empêche d'exercer une activité professionnelle. Il n'est pas rendu vraisemblable que le prix que l'intimée pourrait tirer de la vente du fonds de commerce et des machines de "C______" ainsi que la somme qu'elle va percevoir au titre de la liquidation du régime matrimonial lui procureraient des revenus lui permettant de subvenir à son entretien. Si l'intimée relève que le loyer de 1'000 fr. retenu parmi ses charges par le Tribunal était "limité", elle ne fait toutefois pas valoir de loyer plus élevé. En outre, c'est à juste titre qu'il a été tenu compte de la prime de l'assurance-maladie complémentaire de l'intimée, qui a des problèmes de santé, étant donné que la situation financière des parties le permet. En revanche, le montant de base OP de l'intimée doit être réduit de 15% puisqu'elle réside en France depuis six ans et qu'elle n'a pas démontré qu'elle va prochainement s'installer en Suisse. Ainsi, les charges mensuelles de l'intimée sont de 2'961 fr. comprenant le loyer (estimé à 1'000 fr.), la prime d'assurance-maladie (871 fr. 60), les frais de transport (70 fr.) et l'entretien de base selon les normes OP (1'020 fr. = 1'200 fr. - 15%). Le déficit mensuel de l'intimée est donc de 2'961 fr. par mois. 6.3 Au vu de ce qui précède, le disponible de l'appelant lui permet de couvrir l'ensemble des charges de l'intimée. Il sera ainsi condamné à lui verser 3'000 fr.</w:t>
      </w:r>
    </w:p>
    <w:p>
      <w:r>
        <w:t>- 18/21 -</w:t>
      </w:r>
    </w:p>
    <w:p>
      <w:r>
        <w:t>C/17001/2017 par mois et d'avance, dès l'entrée en force du jugement de divorce et jusqu'à l'âge AVS de l'appelant. Il n'est pas possible de déterminer si l'intimée percevra une rente invalidité pour cette période et si la rente lui permettra de couvrir la totalité de ses charges. Toutefois ce fait est suffisamment probable pour qu'il en soit tenu compte dans le cadre de la présente procédure. Par conséquent, la contribution d'entretien sera due par l'appelant sous déduction d'une éventuelle rente d'invalidité versée à l'intimée. Celle-ci sera donc condamnée à informer l'appelant de toute décision de l'assurance-invalidité lui octroyant une rente pour la période concernée. Par conséquent, le chiffre 6 du dispositif du jugement sera annulé et il sera statué dans le sens des considérations qui précèdent.</w:t>
      </w:r>
    </w:p>
    <w:p>
      <w:r>
        <w:rPr>
          <w:b/>
        </w:rPr>
        <w:t>E. 7</w:t>
      </w:r>
    </w:p>
    <w:p>
      <w:r>
        <w:t>mai 2019 consid. 2.3.1). 5.2.1 En l'espèce, c'est à tort que le premier juge a considéré que les dettes de l'exploitation de l'entreprise individuelle de l'appelant ne devaient pas être prises en considération au motif qu'elles étaient compensées par la valeur de l'entreprise puisque cette dernière ne lui appartient pas. Par conséquent, il sera tenu compte de la dette de 30'735 fr. de l'appelant dans la liquidation du régime matrimonial. Par ailleurs, il résulte des dernières conclusions des parties que celles-ci étaient d'accord sur le fait que la plus-value de la maison était de 33,88%, pourcentage appliqué par chacune des parties dans le calcul des différents plus-values. C'est donc ce pourcentage qui doit être appliqué, compte tenu de la maxime de disposition applicable. Par conséquent, la créance des biens propres de l'appelant envers ses acquêts au titre de l'amortissement hypothécaire est de 7'614 fr. 45 (5'687 fr. 50 + 33,88%). Enfin, l'appelant fait valoir que le solde de son compte était de 729 fr. 40 au jour de la dissolution du régime matrimonial. Or, ce montant correspond à la différence entre le crédit et le débit de son compte privé entre le 1er janvier et le 31 août 2017 et non au solde de son compte à cette date. Le solde des avoirs de l'appelant au 5 juillet 2017 était de 1'645 fr. 20 (cf. EN FAIT let. F.b). Au vu de ce qui précède, les acquêts de l'appelant sont déficitaires de 21'475 fr. 70 (1'645 fr. 20 de compte bancaire, 7'614 fr. 45 de récompense envers ses biens propres pour l'amortissement de l'hypothèque de la maison, moins 30'735 fr. 35 de dettes d'exploitation).</w:t>
      </w:r>
    </w:p>
    <w:p>
      <w:r>
        <w:t>- 14/21 -</w:t>
      </w:r>
    </w:p>
    <w:p>
      <w:r>
        <w:t>C/17001/2017 5.2.2 Les avoirs bancaires de l'intimée étaient de 29'381 fr. 19 (1'381 fr. 19 + 23'000 fr. + 5'000 fr.) au 5 juillet 2017. L'intimée a réclamé une somme de 84'110 fr. (62'825 fr. plus 33,88% de plus- value) en remboursement de ses investissements pour l'amortissement hypothécaire. C'est donc le pourcentage de 33,88%, avec lequel l'appelant s'est déclaré d'accord, qui doit être appliqué et la somme de 84'110 fr. qui doit être retenue. Par ailleurs, les parties ont admis devant notaire que l'intimée avait une créance de 62'825 fr. au titre de remboursement des amortissements hypothécaires effectué pour la somme de 62'825 fr. et qu'elle avait une créance de 50'000 fr. pour avoir investi dans la construction de la maison la somme de 50'000 fr. Elles ont, en revanche, fixé à 78'500 fr. la créance due par l'appelant à l'intimée pour avoir acquitté les intérêts hypothécaires à hauteur de 157'000 fr. et convenu que cette somme avait été payée au moyen d'acquêts. On ignore pour quelles raisons les parties ont décidé que l'intimée devait participer au paiement des intérêts hypothécaires pour moitié. Il n'en demeure pas moins que le montant de la créance figure dans un acte notarié et que l'intimée n'a pas plaidé que cet acte serait nul ou annulable. Par conséquent, c'est à juste titre que le premier juge a considéré que c'était une somme de 78'500 fr. qui était due aux acquêts de l'intimée au titre du paiement des intérêts hypothécaires, cette dernière ne contestant plus la qualité d'acquêts de cette créance en appel. Par conséquent, les acquêts de l'intimée s'élèvent à 191'991 fr. 19 (29'381 fr. 19 de comptes bancaires, 84'110 fr. pour l'amortissement de la dette hypothécaire, 78'500 fr. pour les intérêts hypothécaires).</w:t>
      </w:r>
    </w:p>
    <w:p>
      <w:r>
        <w:rPr>
          <w:b/>
        </w:rPr>
        <w:t>E. 7.1</w:t>
      </w:r>
    </w:p>
    <w:p>
      <w:r>
        <w:t>Les frais sont mis à la charge de la partie qui succombe (art. 106 al. 1 CPC). Lorsqu'aucune des parties n'obtient entièrement gain de cause, les frais sont répartis selon le sort de la cause (art. 106 al. 2 CPC). Le juge peut s'écarter des règles générales et répartir les frais selon sa libre appréciation, notamment lorsque le litige relève du droit de la famille (art. 107 al. 1 let. c CPC) ou lorsque des circonstances particulières rendent la répartition en fonction du sort de la cause inéquitable (art. 107 al. 1 let. f CPC). Cette dernière hypothèse vise notamment les cas où il existe une disparité économique importante des parties (ATF 139 III 33 consid. 4.2 et les références; arrêt du Tribunal fédéral 4A_535/2015 du 1er juin 2016 consid. 6.4.1). Cette disposition doit cependant être appliquée restrictivement (arrêts du Tribunal fédéral 1C_350/2016 du 2 février 2017 consid. 2.3.2; 5A_482/2014 du 14 janvier 2015 consid. 6 in fine). Lorsque la Cour statue à nouveau, elle se prononce sur les frais fixés par le tribunal de première instance (art. 318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