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ACJC/153/2023 vom 5. Januar 2023</w:t>
      </w:r>
    </w:p>
    <w:p>
      <w:r>
        <w:t>GE Cour de justice, 2023-01-05, FR</w:t>
      </w:r>
    </w:p>
    <w:p>
      <w:r>
        <w:rPr>
          <w:b/>
        </w:rPr>
        <w:t xml:space="preserve">Quelle: </w:t>
      </w:r>
      <w:r>
        <w:t>https://mcp.opencaselaw.ch/entscheid/ge_gerichte_ACJC_153_2023</w:t>
      </w:r>
    </w:p>
    <w:p>
      <w:r>
        <w:t>FR: GE_GERICHTE ACJC/153/2023 du 5 janvier 2023</w:t>
      </w:r>
    </w:p>
    <w:p>
      <w:r>
        <w:t>IT: GE_GERICHTE ACJC/153/2023 del 5 gennaio 2023</w:t>
      </w:r>
    </w:p>
    <w:p>
      <w:pPr>
        <w:pStyle w:val="Heading2"/>
      </w:pPr>
      <w:r>
        <w:t>Volltext</w:t>
      </w:r>
    </w:p>
    <w:p>
      <w:r>
        <w:t>Le présent arrêt est communiqué aux parties par plis recommandés du 3 février 2023</w:t>
      </w:r>
    </w:p>
    <w:p>
      <w:r>
        <w:t>REPUBLIQUE ET</w:t>
      </w:r>
    </w:p>
    <w:p>
      <w:r>
        <w:t>CANTON DE GENEVE POUVOIR JUDICIAIRE C/25048/2020 ACJC/153/2023 ARRÊT DE LA COUR DE JUSTICE Chambre civile DU JEUDI 2 FEVRIER 2023</w:t>
      </w:r>
    </w:p>
    <w:p>
      <w:r>
        <w:t>Entre Monsieur A______, domicilié ______, appelant d'une ordonnance rendue par la 9ème Chambre du Tribunal de première instance de ce canton le 5 janvier 2023, comparant par Me Imed ABDELLI, avocat, Rue du Mont-Blanc 9, 1201 Genève, en l'Étude duquel il fait élection de domicile, et Madame B______, domiciliée ______, intimée, comparant par Me Elisabeth GABUS- THORENS, avocate, Renold Gabus-Thorens Associé(e)s, Boulevard des Philosophes 15, 1205 Genève, en l'Étude de laquelle elle fait élection de domicile.</w:t>
      </w:r>
    </w:p>
    <w:p>
      <w:r>
        <w:t>- 2/3 -</w:t>
      </w:r>
    </w:p>
    <w:p>
      <w:r>
        <w:t>C/25048/2020 Attendu, EN FAIT, que par ordonnance du 5 janvier 2023, le Tribunal de première instance, statuant sur mesures provisionnelles, a débouté A______ des fins de sa requête (ch. 1 du dispositif), réservé sa décision finale quant au sort des frais (ch. 2) et débouté les parties de toutes autres conclusions (ch. 3); Que par acte expédié à la Cour de justice le 23 janvier 2023, A______ a formé appel contre cette ordonnance; qu'il a conclu à son annulation et, cela fait, à l'annulation des ch. 10 et 11 du dispositif du jugement JTPI/4410/2021 du 31 mars 2021 et à la suppression de la contribution d'entretien de 870 fr. en faveur de C______, à ce qu'il lui soit donné acte de son engagement à verser à ce titre un montant de 300 fr. et à ce qu'un droit de visite sur l'enfant lui soit accordé selon les modalités qu'il indique; Qu'il a conclu, préalablement, à l'octroi de l'effet suspensif à son appel; Qu'invitée à se déterminer à cet égard, B______ a conclu au rejet de cette requête;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la question de l'effet suspensif ne se pose cependant pas en cas d'appel ou de recours contre une décision provisionnelle refusant d'ordonner la mesure requise, cette décision ne déployant aucun effet susceptible d'être suspendu (STUCKI/PAHUD, Le régime des décisions superprovisionnelles et provisionnelles du code de procédure civile, in SJ 2015 II 1, p. 24); Que le principe précité s'applique au cas d'espèce; que le Tribunal ayant rejeté les mesures provisionnelles requises par l'appelant, la décision attaquée ne déploie aucun effet qui pourrait être suspendu; Qu'au vu de ce qui précède, la requête d'effet suspensif sera rejetée; Qu'il sera statué sur les frais et dépens liés à la présente décision avec l'arrêt au fond (art. 104 al. 3 CPC). * * * * *</w:t>
      </w:r>
    </w:p>
    <w:p>
      <w:r>
        <w:t>- 3/3 -</w:t>
      </w:r>
    </w:p>
    <w:p>
      <w:r>
        <w:t>C/25048/2020 PAR CES MOTIFS, La Chambre civile :</w:t>
      </w:r>
    </w:p>
    <w:p>
      <w:r>
        <w:t>Statuant sur requête de suspension du caractère exécutoire de l'ordonnance entreprise: Rejette la requête formée par A______ tendant à suspendre le caractère exécutoire de l'ordonnance OTPI/8/2023 rendue le 5 janvier 2023 par le Tribunal de première instance dans la cause C/25048/2020. Dit qu'il sera statué sur les frais liés à la présente décision dans l'arrêt rendu sur le fond. Siégeant : Madame Valérie BOCHET MARCHAND, greffière.</w:t>
      </w:r>
    </w:p>
    <w:p>
      <w:r>
        <w:t>Indications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