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ACJC/153/2018 vom 6. Februar 2018</w:t>
      </w:r>
    </w:p>
    <w:p>
      <w:r>
        <w:t>GE Cour de justice, 2018-02-06, FR</w:t>
      </w:r>
    </w:p>
    <w:p>
      <w:r>
        <w:rPr>
          <w:b/>
        </w:rPr>
        <w:t xml:space="preserve">Quelle: </w:t>
      </w:r>
      <w:r>
        <w:t>https://mcp.opencaselaw.ch/entscheid/ge_gerichte_ACJC_153_2018</w:t>
      </w:r>
    </w:p>
    <w:p>
      <w:r>
        <w:t>FR: GE_GERICHTE ACJC/153/2018 du 6 février 2018</w:t>
      </w:r>
    </w:p>
    <w:p>
      <w:r>
        <w:t>IT: GE_GERICHTE ACJC/153/2018 del 6 febbraio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w:t>
      </w:r>
    </w:p>
    <w:p>
      <w:r>
        <w:t>Les maximes des débats et de disposition s'appliquent (art. 55 al. 1, 255 let. a a contrario et 58 al. 1 CPC).</w:t>
      </w:r>
    </w:p>
    <w:p>
      <w:r>
        <w:t>S'agissant d'une procédure de mainlevée définitive, la Cour doit vérifier d'office si la requête est fondée sur un titre de mainlevée valable (arrêt du Tribunal fédéral</w:t>
      </w:r>
    </w:p>
    <w:p>
      <w:r>
        <w:t>- 5/9 -</w:t>
      </w:r>
    </w:p>
    <w:p>
      <w:r>
        <w:t>C/12116/2017 5P.174/2005 du 7 octobre 2005). Dans cette mesure, la Cour applique librement le droit.</w:t>
      </w:r>
    </w:p>
    <w:p>
      <w:r>
        <w:t>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BORTOLASO/AGUET, op. cit., n. 2513-2515).</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Par conséquent, les faits nouvellement allégués par la recourante dans son recours ainsi que les pièces s'y rapportant sont irrecevables, car non soumises au premier juge.</w:t>
      </w:r>
    </w:p>
    <w:p>
      <w:r>
        <w:rPr>
          <w:b/>
        </w:rPr>
        <w:t>E. 1.4</w:t>
      </w:r>
    </w:p>
    <w:p>
      <w:r>
        <w:t>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2</w:t>
      </w:r>
    </w:p>
    <w:p>
      <w:r>
        <w:t>La recourante reproche au Tribunal d'avoir prononcé la mainlevée définitive de l'opposition formée au commandement de payer.</w:t>
      </w:r>
    </w:p>
    <w:p>
      <w:r>
        <w:rPr>
          <w:b/>
        </w:rPr>
        <w:t>E. 2.1</w:t>
      </w:r>
    </w:p>
    <w:p>
      <w:r>
        <w:t>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- 6/9 -</w:t>
      </w:r>
    </w:p>
    <w:p>
      <w:r>
        <w:t>C/12116/2017</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Les moyens de défense du débiteur dans la procédure de mainlevée définitive sont étroitement limités. Pour empêcher toute obstruction de l'exécution, le titre de mainlevée définitive ne peut être infirmé que par une preuve stricte du contraire, c’est-à-dire des titres parfaitement clairs (SCHMIDT, Commentaire romand, poursuites et faillites, 2005, n. 1 ad art. 81 LP).</w:t>
      </w:r>
    </w:p>
    <w:p>
      <w:r>
        <w:rPr>
          <w:b/>
        </w:rPr>
        <w:t>E. 2.4</w:t>
      </w:r>
    </w:p>
    <w:p>
      <w:r>
        <w:t>En l'occurrence, le recours n'est pas dirigé contre les chiffres 1 et 2 du dispositif du jugement attaqué. En outre, il n'est à juste titre pas contesté par les</w:t>
      </w:r>
    </w:p>
    <w:p>
      <w:r>
        <w:t>- 7/9 -</w:t>
      </w:r>
    </w:p>
    <w:p>
      <w:r>
        <w:t>C/12116/2017 parties que les décisions rendues par les juridictions allemandes sont définitives et exécutoires et qu'elles constituent un titre de mainlevée définitive.</w:t>
      </w:r>
    </w:p>
    <w:p>
      <w:r>
        <w:t>La recourante soutient que les montants auxquels elle a été condamnée ont été entièrement réglés par le produit de la vente aux enchères de bijoux, intervenue en faveur de B______. Elle fonde ainsi l'essentiel de son argumentation sur des faits nouveaux, irrecevables en procédure de recours, de même que des titres s'y rapportant. La recourante admet par ailleurs elle-même ne pas connaître le montant effectivement versé à B______ à ce titre à la suite de ladite vente aux enchères.</w:t>
      </w:r>
    </w:p>
    <w:p>
      <w:r>
        <w:t>A l'instar du Tribunal, la Cour retient que le fait que les parents de la recourante ne sont plus inscrits dans le registre fiscal de leur domicile ne permet pas de retenir, même sous l'angle de la vraisemblance, que les créances objet de la poursuite auraient été soldées, par un produit hypothétique résultant de la vente aux enchères de bijoux.</w:t>
      </w:r>
    </w:p>
    <w:p>
      <w:r>
        <w:rPr>
          <w:b/>
        </w:rPr>
        <w:t>E. 2.5</w:t>
      </w:r>
    </w:p>
    <w:p>
      <w:r>
        <w:t>Infondé, le recours sera dès lors rejeté. 3. En vertu de l'art. 61 al. 1 OELP, la juridiction supérieure à laquelle sont déférées les décisions rendues dans une procédure sommaire en matière de poursuites (art. 251 CPC) peut prélever un émolument n'excédant pas une fois et demie l'émolument que peut prélever l'autorité de première instance.</w:t>
      </w:r>
    </w:p>
    <w:p>
      <w:r>
        <w:t>Le premier juge a fixé l'émolument de première instance à 500 fr. (art. 48 OELP). L'émolument de la présente décision sera fixé à 750 fr. Il sera mis à la charge de la recourante, qui succombe (art. 106 al. 1 CPC) et sera compensé à due concurrence avec l'avance de frais opérée par elle, acquise à l'Etat de Genève (art. 111 al. 1 CPC). Le solde de l'avance de frais de 1'000 fr. versé par elle lui sera restitué.</w:t>
      </w:r>
    </w:p>
    <w:p>
      <w:r>
        <w:t>La recourante versera également à l'intimé des dépens arrêtés à 2'000 fr., débours et TVA compris, au regard de l'activité déployée par le Conseil de celui-ci (art. 96 et 105 al. 2 CPC; art. 85, 88 et 90 RTFMC; art. 25 et 26 LaCC). 4. La valeur litigieuse, au sens de l'art. 51 LTF, est supérieure à 30'000 fr.</w:t>
      </w:r>
    </w:p>
    <w:p>
      <w:r>
        <w:t>- 8/9 -</w:t>
      </w:r>
    </w:p>
    <w:p>
      <w:r>
        <w:t>C/12116/2017 * * * * * PAR CES MOTIFS, La Chambre civile : A la forme : Déclare recevable le recours interjeté le 3 novembre 2017 par A______ contre le jugement JTPI/13445/2017 rendu le 19 octobre 2017 par le Tribunal de première instance dans la cause C/12116/2017-22 SML. Au fond : Rejette ce recours. Déboute les parties de toutes autres conclusions. Sur les frais : Arrête les frais judiciaires du recours à 750 fr., les met à la charge de A______ et les compense à due concurrence avec l'avance de frais fournie, acquise à l'Etat de Genève, soit pour lui les Services financiers du Pouvoir judiciaire. Invite les Services financiers du Pouvoir judiciaire à restituer la somme de 1'000 fr. à A______. Condamne A______ à verser à B______ la somme de 2'000 fr. à titre de dépens de recours. Siégeant : Madame Nathalie LANDRY-BARTHE, présidente; Madame Sylvie DROIN,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- 9/9 -</w:t>
      </w:r>
    </w:p>
    <w:p>
      <w:r>
        <w:t>C/12116/2017 Valeur litigieuse des conclusions pécuniaires au sens de la LTF supérieure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