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ACJC/1538/2022 vom 25. November 2022</w:t>
      </w:r>
    </w:p>
    <w:p>
      <w:r>
        <w:t>GE Cour de justice, 2022-11-25, FR</w:t>
      </w:r>
    </w:p>
    <w:p>
      <w:r>
        <w:rPr>
          <w:b/>
        </w:rPr>
        <w:t xml:space="preserve">Quelle: </w:t>
      </w:r>
      <w:r>
        <w:t>https://mcp.opencaselaw.ch/entscheid/ge_gerichte_ACJC_1538_2022</w:t>
      </w:r>
    </w:p>
    <w:p>
      <w:r>
        <w:t>FR: GE_GERICHTE ACJC/1538/2022 du 25 novembre 2022</w:t>
      </w:r>
    </w:p>
    <w:p>
      <w:r>
        <w:t>IT: GE_GERICHTE ACJC/1538/2022 del 25 novembre 2022</w:t>
      </w:r>
    </w:p>
    <w:p>
      <w:pPr>
        <w:pStyle w:val="Heading2"/>
      </w:pPr>
      <w:r>
        <w:t>Erwägungen</w:t>
      </w:r>
    </w:p>
    <w:p>
      <w:r>
        <w:rPr>
          <w:b/>
        </w:rPr>
        <w:t>E. 1</w:t>
      </w:r>
    </w:p>
    <w:p>
      <w:r>
        <w:t>Dans son arrêt du 17 mai 2021, la Cour a considéré que la contribution à l’entretien de C______ devait être supprimée avec effet au 23 janvier 2018, date de l’entrée en force partielle du jugement de divorce. Cette date avait déjà été retenue par arrêt de la Cour du 11 décembre 2018, de sorte que l’appelant devait s’attendre à ce que la suppression de la contribution prenne effet à ce moment-là, ce d’autant plus que les circonstances justifiant la suppression de la contribution étaient déjà réalisées à cette date. Le Tribunal fédéral a jugé que ce qui précède ne constituait pas un motif de déroger au principe selon lequel la suppression de la contribution devait, sauf motifs très particuliers, prendre effet au plus tôt à la date de la requête en modification. Il incombait à l'intimée de requérir la suppression de la contribution d'entretien fixée sur mesures provisionnelles dès la survenance des événements censés la justifier et la Cour ne pouvait pas pallier son omission. L’arrêt du 11°décembre 2018 n’était pas entré en force compte tenu du renvoi de la cause à l’autorité de première instance de sorte que la contribution était maintenue à titre provisionnel. La cause était ainsi renvoyée à la Cour pour un nouvel examen de la question du point de départ de la suppression de la contribution à l’entretien de l’enfant.</w:t>
      </w:r>
    </w:p>
    <w:p>
      <w:r>
        <w:rPr>
          <w:b/>
        </w:rPr>
        <w:t>E. 1.1</w:t>
      </w:r>
    </w:p>
    <w:p>
      <w:r>
        <w:t>De jurisprudence constante, la décision de modification des mesures provisoires ne déploie en principe ses effets que pour le futur, l'ancienne</w:t>
      </w:r>
    </w:p>
    <w:p>
      <w:r>
        <w:t>- 7/9 -</w:t>
      </w:r>
    </w:p>
    <w:p>
      <w:r>
        <w:t>C/13523/2012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Un effet rétroactif antérieur au dépôt de la requête n'est possible que pour des motifs très particuliers, tels qu'un lieu de séjour inconnu ou une absence du pays du débiteur de la contribution d'entretien, une maladie grave du crédirentier ou un comportement de l'une des parties contraire à la bonne foi (arrêt du Tribunal fédéral 5A_505/2021 du 29 août 2022 consid. 6.2.4).</w:t>
      </w:r>
    </w:p>
    <w:p>
      <w:r>
        <w:t>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 du Tribunal fédéral 5A_539/2019 du 14 novembre 2019 consid. 3.3).</w:t>
      </w:r>
    </w:p>
    <w:p>
      <w:r>
        <w:rPr>
          <w:b/>
        </w:rPr>
        <w:t>E. 1.2</w:t>
      </w:r>
    </w:p>
    <w:p>
      <w:r>
        <w:t>En l’espèce, le motif pour lequel la modification de la contribution d’entretien était demandée se trouvait déjà réalisé le 8 octobre 2019, lorsque l’intimée a conclu à ce que le Tribunal modifie le jugement de mesures protectrices de l’union conjugale du 15 mars 2013 en ce sens qu’elle ne devait plus verser de contribution à l’entretien de l’enfant. En effet, à cette date-là, son revenu de 2'000 fr. par mois ne lui permettait pas de couvrir ses charges incompressibles en 3'520 fr., de sorte qu'il ne lui était pas possible de contribuer financièrement à l'entretien de son fils. Il se justifie par conséquent de retenir comme date déterminante la date du dépôt de la requête de suppression de la contribution d'entretien, à savoir le 8 octobre 2019. L’appelant devait en effet tenir compte d'un risque de suppression de la contribution dès le dépôt de ladite requête. Il n’allègue par ailleurs pas que des contributions ont été versées, de sorte que la question de leur restitution ne se pose pas.</w:t>
      </w:r>
    </w:p>
    <w:p>
      <w:r>
        <w:t>- 8/9 -</w:t>
      </w:r>
    </w:p>
    <w:p>
      <w:r>
        <w:t>C/13523/2012 Le chiffre 4 du dispositif de l’ordonnance du Tribunal du 16 octobre 2020 sera par conséquent modifié en ce sens que la suppression de la contribution due par l’intimée pour l’entretien de C______ prendra effet le 8 octobre 2019. La question de la fixation de l'entretien convenable de C______ ayant été définitivement réglé par l'arrêt de la Cour du 17 mai 2021, il n'y pas lieu d'y revenir.</w:t>
      </w:r>
    </w:p>
    <w:p>
      <w:r>
        <w:rPr>
          <w:b/>
        </w:rPr>
        <w:t>E. 2.1</w:t>
      </w:r>
    </w:p>
    <w:p>
      <w:r>
        <w:t>L'issue de la procédure ne justifie pas une modification du règlement des frais de la procédure de première instance, que le Tribunal a renvoyé à la décision finale (art. 104 al. 1 CPC).</w:t>
      </w:r>
    </w:p>
    <w:p>
      <w:r>
        <w:rPr>
          <w:b/>
        </w:rPr>
        <w:t>E. 2.2</w:t>
      </w:r>
    </w:p>
    <w:p>
      <w:r>
        <w:t>Compte du fait que l'appelant succombe pour l'essentiel dans ses conclusions d'appel, il convient de mettre à sa charge les frais judiciaires d'appel, comprenant les honoraires du curateur de C______ (art. 95 al. 2 CPC; art. 106 al. 1 CPC).</w:t>
      </w:r>
    </w:p>
    <w:p>
      <w:r>
        <w:t>Contrairement à ce que soutient l'appelant, l'intimée n'a pas fait preuve d'une "extrême mauvaise foi" justifiant que tous les frais soient mis à sa charge.</w:t>
      </w:r>
    </w:p>
    <w:p>
      <w:r>
        <w:t>L'émolument de décision sera fixé à 800 fr. (art. 31 et 37 RTFMC) et compensé avec l'avance de frais effectuée par l'appelant, qui demeure acquise à l'Etat de Genève (art. 111 al. 1 CPC; art. 95 al. 2 CPC).</w:t>
      </w:r>
    </w:p>
    <w:p>
      <w:r>
        <w:t>Les frais du curateur de C______ engagés dans le cadre de la présente procédure d'appel seront fixés à 3'338 fr. 70, débours et TVA compris, conformément à la note d'honoraires déposée par le curateur, dont la quotité n'est pas contestée.</w:t>
      </w:r>
    </w:p>
    <w:p>
      <w:r>
        <w:t>L'appelant sera dès lors condamné à verser directement au curateur de C______ le montant précité.</w:t>
      </w:r>
    </w:p>
    <w:p>
      <w:r>
        <w:t>Il n’y a pas lieu de fixer de frais pour la procédure de renvoi par le Tribunal fédéral.</w:t>
      </w:r>
    </w:p>
    <w:p>
      <w:r>
        <w:t>Compte tenu de la nature familiale du litige, chaque partie supportera ses propres dépens d'appel (art. 107 al. 1 let. c CPC). * * * * *</w:t>
      </w:r>
    </w:p>
    <w:p>
      <w:r>
        <w:t>- 9/9 -</w:t>
      </w:r>
    </w:p>
    <w:p>
      <w:r>
        <w:t>C/13523/2012 PAR CES MOTIFS, La Chambre civile : Statuant sur renvoi du Tribunal fédéral :</w:t>
      </w:r>
    </w:p>
    <w:p>
      <w:r>
        <w:t>Annule le chiffre 4 du dispositif de l’ordonnance OTPI/642/2020 rendue par le Tribunal de première instance le 16 octobre 2020 et, statuant à nouveau : Dit que B______ ne doit verser aucune contribution à l’entretien de l’enfant C______ à compter du 8 octobre 2019. Déboute les parties de toutes autres conclusions. Arrête les frais judiciaires d'appel à 4'138 fr. 70, les met à la charge de A______ et les compense partiellement avec l'avance effectuée, acquise à l'État de Genève. Condamne A______ à verser à Me D______ 3'338 fr. 70. Dit que chaque partie supporte ses propres dépens d'appel. Siégeant : Monsieur Laurent RIEBEN, président; Madame Fabienne GEISINGER-MARIETHOZ, Madame Jocelyne DEVILLE-CHAVANNE,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