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ACJC/1537/2018 vom 6. November 2018</w:t>
      </w:r>
    </w:p>
    <w:p>
      <w:r>
        <w:t>GE Cour de justice, 2018-11-06, FR</w:t>
      </w:r>
    </w:p>
    <w:p>
      <w:r>
        <w:rPr>
          <w:b/>
        </w:rPr>
        <w:t xml:space="preserve">Quelle: </w:t>
      </w:r>
      <w:r>
        <w:t>https://mcp.opencaselaw.ch/entscheid/ge_gerichte_ACJC_1537_2018</w:t>
      </w:r>
    </w:p>
    <w:p>
      <w:r>
        <w:t>FR: GE_GERICHTE ACJC/1537/2018 du 6 novembre 2018</w:t>
      </w:r>
    </w:p>
    <w:p>
      <w:r>
        <w:t>IT: GE_GERICHTE ACJC/1537/2018 del 6 novembre 2018</w:t>
      </w:r>
    </w:p>
    <w:p>
      <w:pPr>
        <w:pStyle w:val="Heading2"/>
      </w:pPr>
      <w:r>
        <w:t>Erwägungen</w:t>
      </w:r>
    </w:p>
    <w:p>
      <w:r>
        <w:rPr>
          <w:b/>
        </w:rPr>
        <w:t>E. 1.1</w:t>
      </w:r>
    </w:p>
    <w:p>
      <w:r>
        <w:t>L'appel est recevable contre les jugements de mesures protectrices, considérés comme des décisions provisionnelles au sens de l'art. 308 al. 1 let. b CPC, dans les causes non patrimoniales ou dont la valeur litigieuse au dernier état des conclusions devant l'autorité inférieure est supérieure à 10'000 fr. (art. 308 al. 2 CPC). La procédure sommaire étant applicable, le délai d'appel est de 10 jours (art. 314 al. 1 CPC).</w:t>
      </w:r>
    </w:p>
    <w:p>
      <w:r>
        <w:t>En l'espèce, l'appel a été formé en temps utile (314 al. 1 CPC) et suivant la forme prescrite par la loi (art. 311 al. 1 CPC). Il porte sur la contribution à l'entretien de l'épouse, conclusions dont la valeur, à teneur des dernières conclusions de première instance, est supérieure à 10'000 fr. L'appel est partant recevable.</w:t>
      </w:r>
    </w:p>
    <w:p>
      <w:r>
        <w:rPr>
          <w:b/>
        </w:rPr>
        <w:t>E. 1.2</w:t>
      </w:r>
    </w:p>
    <w:p>
      <w:r>
        <w:t>La Cour revoit la cause avec un plein pouvoir d'examen (art. 310 CPC) et, dans la limite des conclusions prises, elle établit les faits d'office (art. 272 CPC). Sa cognition est toutefois limitée à la simple vraisemblance des faits et à un examen sommaire du droit, l'exigence de célérité étant privilégiée par rapport à celle de sécurité (ATF 127 III 474 consid. 2b/bb, JdT 2002 I 352; arrêt du Tribunal fédéral 5A_12/2013 du 8 mars 2013 consid. 2.2).</w:t>
      </w:r>
    </w:p>
    <w:p>
      <w:r>
        <w:t>La cause est soumise aux maximes de disposition (art. 58 al. 1 CPC; ATF 128 III 411 consid. 3.2.2; arrêt du Tribunal fédéral 5A_693/2007 du 18 février 2008, consid. 6) et inquisitoire (art. 272 CPC) tant en ce qui concerne la contribution d'entretien due à l'épouse que celle de la provisio ad litem.</w:t>
      </w:r>
    </w:p>
    <w:p>
      <w:r>
        <w:rPr>
          <w:b/>
        </w:rPr>
        <w:t>E. 2</w:t>
      </w:r>
    </w:p>
    <w:p>
      <w:r>
        <w:t>octobre 1973 sur la loi applicable aux obligations alimentaires, par renvoi de l'art. 49 LDIP).</w:t>
      </w:r>
    </w:p>
    <w:p>
      <w:r>
        <w:t>- 7/12 -</w:t>
      </w:r>
    </w:p>
    <w:p>
      <w:r>
        <w:t>C/11251/2017</w:t>
      </w:r>
    </w:p>
    <w:p>
      <w:r>
        <w:rPr>
          <w:b/>
        </w:rPr>
        <w:t>E. 3</w:t>
      </w:r>
    </w:p>
    <w:p>
      <w:r>
        <w:t>La Cour examine, en principe, d'office la recevabilité des pièces produites en appel (REETZ/HILBER, Kommentar zur Schweizerischen Zivilprozessordnung, 2010, n. 26 zu 317).</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Cette règle s'applique sans restriction dans les procédures soumises, comme in casu, aux maximes inquisitoires et de disposition (ATF 138 III 625 consid. 2.2 ; arrêts du Tribunal fédéral 5A_456/2016 du 28 octobre 2016 consid. 4.1; 4A_310/2012 du 1er octobre 2012 consid. 2.1).</w:t>
      </w:r>
    </w:p>
    <w:p>
      <w:r>
        <w:t>En l'espèce, sont irrecevables les pièces annexées à la réponse à l'appel, en tant qu'elles concernent des éléments antérieurs à la clôture des débats devant le premier juge, l'intimé ne faisant pas valoir qu'il lui aurait été impossible de s'en prévaloir devant le premier juge déjà. Le relevé de compte bancaire produit en annexe à la duplique, établi le 30 avril 2018, est en revanche recevable dans son intégralité.</w:t>
      </w:r>
    </w:p>
    <w:p>
      <w:r>
        <w:rPr>
          <w:b/>
        </w:rPr>
        <w:t>E. 4</w:t>
      </w:r>
    </w:p>
    <w:p>
      <w:r>
        <w:t>Est contestée la contribution de l'appelant à l'entretien de l'épouse.</w:t>
      </w:r>
    </w:p>
    <w:p>
      <w:r>
        <w:rPr>
          <w:b/>
        </w:rPr>
        <w:t>E. 4.1</w:t>
      </w:r>
    </w:p>
    <w:p>
      <w:r>
        <w:t>Même lorsqu'on ne peut plus sérieusement compter sur la reprise de la vie commune, l'art. 163 CC demeure la cause de l'obligation d'entretien réciproque des époux jusqu'au prononcé du divorce (ATF 140 III 337 consid. 4.2.1; arrêt du Tribunal fédéral 5A_787/2016 du 12 janvier 2017 consid. 4.2.1). Pour fixer la contribution d'entretien selon l'art. 176 al. 1 ch. 1 CC, le juge doit partir de la convention, expresse ou tacite, que les époux ont conclue au sujet de la répartition des tâches et des ressources entre eux (art. 163 al. 1 CC). La loi n'impose pas au juge de méthode de calcul particulière pour fixer la quotité de la contribution (ATF 140 III 337 consid. 4.2.2; arrêt du Tribunal fédéral 5A_787/2016 du 12 janvier 2017 consid. 4.2.1). La détermination de celle-ci relève du pouvoir d'appréciation du juge du fait, qui applique les règles du droit et de l'équité (art. 4 CC).</w:t>
      </w:r>
    </w:p>
    <w:p>
      <w:r>
        <w:t>L'une des méthodes conformes au droit fédéral est celle dite "du minimum vital avec répartition de l'excédent", selon laquelle, lorsque le revenu total des conjoints dépasse leur minimum vital de base du droit des poursuites (art. 93 LP) augmenté, si la situation le permet, de dépenses non strictement nécessaires, l'excédent est en règle générale réparti par moitié entre eux (ATF 121 I 97 consid. 3b; arrêt du Tribunal fédéral 5A_787/2016 du 12 janvier 2017 consid. 4.2.1). Cette méthode demeure conforme au droit fédéral, même en cas de situation financière aisée, notamment lorsque le train de vie des époux durant la vie commune ne peut être établi. Elle permet en effet de tenir compte adéquatement du niveau de vie avant la cessation de la vie commune - lequel constitue la limite supérieure du droit à</w:t>
      </w:r>
    </w:p>
    <w:p>
      <w:r>
        <w:t>- 8/12 -</w:t>
      </w:r>
    </w:p>
    <w:p>
      <w:r>
        <w:t>C/11251/2017 l'entretien - et des restrictions à celui-ci qui peuvent être imposées à chacun des époux (ATF 140 III 485 consid. 3.3; 137 III 102 consid. 4.2.1.1; 134 III 577 consid. 3; plus récemment: arrêts du Tribunal fédéral 5A_970/2017 du 7 juin 2018 consid, 4.2, 5A_583/2016 du 4 avril 2017 consid. 5.3 et les références).</w:t>
      </w:r>
    </w:p>
    <w:p>
      <w:r>
        <w:t>En tous les cas, l'obligation d'entretien trouve sa limite dans la capacité contributive du débirentier, en ce sens que le minimum vital de celui-ci doit être préservé (ATF 135 III 66 consid. 1; 123 III 1 consid. 3b/bb et consid. 5 in fine).</w:t>
      </w:r>
    </w:p>
    <w:p>
      <w:r>
        <w:rPr>
          <w:b/>
        </w:rPr>
        <w:t>E. 4.2</w:t>
      </w:r>
    </w:p>
    <w:p>
      <w:r>
        <w:t>En l'espèce, il n'est pas contesté qu'en tous cas depuis 1997, l'appelante n'a pas travaillé, l'intimé pourvoyant seul aux besoins du ménage. Le train de vie des époux durant la vie commune n'a pas spécifiquement été établi. Tout au plus résulte-t-il du dossier que les parties disposaient d'un logement à Genève, d'une résidence secondaire à E______, louée dans l'optique d'y passer une partie de leur retraite, enfin d'un hangar à I______, leur servant de garde-meubles. Postérieure- ment à la séparation, l'intimé a, jusqu'au printemps 2017, continué à contribuer à l'entretien de l'appelante, d'abord par des versements mensuels de 2'000 euros, puis par des versements de moindre importance; il a également continué, en 2018 encore, à assumer le loyer du hangar loué à I______ et certains frais en relation avec l'appartement de E______.</w:t>
      </w:r>
    </w:p>
    <w:p>
      <w:r>
        <w:t>Il se justifie dès lors d'admettre que l'appelante, peut dans son principe, prétendre à une contribution d'entretien et d'en déterminer la quotité par application de la méthode dite du "minimum vital", ce qui conduit, après avoir examiné les contestations des parties en relation avec leurs revenus et charges respectifs, à répartir le disponible des époux en fonction de ceux-ci et non en fonction de leur situation de fortune. Sur le sujet, il n'apparaît d'ailleurs pas, contrairement à ce qu'a retenu le premier juge, que la situation de l'épouse soit fondamentalement différente de celle du mari, les économies dont elle disposait en mai 2017 ayant vraisemblablement été utilisées à la couverture de ses charges courantes.</w:t>
      </w:r>
    </w:p>
    <w:p>
      <w:r>
        <w:rPr>
          <w:b/>
        </w:rPr>
        <w:t>E. 4.2.1</w:t>
      </w:r>
    </w:p>
    <w:p>
      <w:r>
        <w:t>L'appelante reproche ainsi au premier juge de n'avoir pas inclus dans ses charges le loyer, charges comprises, de l'appartement de E______, soit 1'662 fr. Ce grief est infondé, les frais d'une résidence secondaire n'entrant pas dans le calcul du minimum vital du droit des poursuites. Cette restriction peut au demeurant être imposée au train de vie du couple, en raison de l'augmentation des frais induite par la création de deux ménages séparés ainsi que par le placement de l'intimé dans un établissement médico-social adapté, et leurs revenus actuels ne leur permettant plus d'assumer l'ensemble de leurs charges antérieures. Le minimum vital de l'appelante s'élève ainsi à 2'161 fr., ainsi que l'a retenu le premier juge, étant précisé que l'appelante ne fait valoir, devant la Cour, aucune charge fiscale courante. Compte tenu de son revenu mensuel de 365 fr. et l'existence d'autres revenus n'étant pas rendue vraisemblable, son déficit s'établit à 1'796 fr. en chiffres ronds.</w:t>
      </w:r>
    </w:p>
    <w:p>
      <w:r>
        <w:t>- 9/12 -</w:t>
      </w:r>
    </w:p>
    <w:p>
      <w:r>
        <w:t>C/11251/2017</w:t>
      </w:r>
    </w:p>
    <w:p>
      <w:r>
        <w:rPr>
          <w:b/>
        </w:rPr>
        <w:t>E. 4.2.2</w:t>
      </w:r>
    </w:p>
    <w:p>
      <w:r>
        <w:t>L'appelante ne conteste par ailleurs pas que le revenu de l'intimé, consistant en sa rente de retraite, s'élève à 7'399 fr. après déduction des primes d'assurance- maladie (soit 7'826 fr. 30 – 427 fr.). L'appelante ne conteste pas davantage les charges prises en compte, à l'exception de la mensualité de 1'931 euros payée en exécution du plan de surendettement et des 115 fr. mensuellement dont l'intimé s'acquitte en relation avec des arriérés de loyer relatifs au hangar loué à I______.</w:t>
      </w:r>
    </w:p>
    <w:p>
      <w:r>
        <w:t>Le paiement de la mensualité de 1'941 euros, prévue au plan de surendettement et qui concerne les 61 premiers mois des arriérés fiscaux, doit être écarté. En effet, seul le paiement de l'impôt courant peut être pris en compte dans le calcul du minimum vital de l'intimé, à l'exclusion des arriérés antérieurs, ceci en cas de situation financière favorable (ATF 140 III 337 consid. 4.3.2 t les références; arrêt du Tribunal fédéral 5A_461/2017 du 25 juillet 2017 consid. 4.3.1). L'intimé ne conteste cependant pas devant la Cour la décision du premier juge d'écarter du calcul sa charge fiscale courante (soit 1'011fr. contrevaleur de 740 euros à titre d'impôt sur le revenu + 147 euros de taxe d'habitation mensuellement, à teneur des avis d'imposition 2017). La situation financière des époux ne saurait en effet être qualifiée de favorable, le disponible de l'intimé après paiement de ses impôts (1'758 fr. cf. infra) ne suffisant pas à couvrir le déficit de l'appelante (1'796 fr.).</w:t>
      </w:r>
    </w:p>
    <w:p>
      <w:r>
        <w:t>En tant qu'elle serait relative au remboursement de la dette envers le Centre psychothérapeutique J______, cette mensualité de 1'931 euros doit par ailleurs également être écartée. D'une part, son paiement, qui n'interviendra qu'à partir du 62ème mois, n'est actuellement pas effectif. D'autre part, seul le remboursement des dettes contractées durant la vie commune et dans l'intérêt du ménage (ce qui n'est pas le cas in casu) peut être pris en compte (ATF 127 III 289 consid. 2a/bb et b; arrêt du Tribunal fédéral 5A_619/2014 du 10 mars 2014, consid. 2.3.2).</w:t>
      </w:r>
    </w:p>
    <w:p>
      <w:r>
        <w:t>L'appelante admet enfin qu'il soit retenu, pour l'intimé, un montant de base de 500 fr. Ce montant est justifié, une large partie des besoins de base de l'intimé étant déjà comprise dans ses frais d'hébergement. Les autres charges prises en compte ne font enfin pas l'objet de contestations.</w:t>
      </w:r>
    </w:p>
    <w:p>
      <w:r>
        <w:t>En définitive, le minimum vital de l'intimé s'élève à 4'630 fr. et son disponible à 2'769 fr. (7'399 fr. – 4'630 fr.) hors impôt. Si l'on tient compte de l'impôt courant, son minimum vital représente 5'641 fr. Son disponible est ainsi de 2'769 fr. avant impôt et de 1'758 fr. si l'on tient compte de la charge fiscale courante.</w:t>
      </w:r>
    </w:p>
    <w:p>
      <w:r>
        <w:t>La charge fiscale courante étant écartée, compte tenu de la situation financière serrée, l'excédent du couple, soit le disponible de l'intimé (2'769 fr.) dont à déduire le déficit de l'épouse (1'796 fr.), représente 973 fr. L'appelante pouvant prétendre à la couverture de son déficit (1'796 fr.) et à la moitié de l'excédent (486 fr.), la contribution mensuelle en sa faveur peut être fixée à 2'282 fr. 50, montant arrondi à la dizaine la plus proche ou 2'280 fr.</w:t>
      </w:r>
    </w:p>
    <w:p>
      <w:r>
        <w:t>- 10/12 -</w:t>
      </w:r>
    </w:p>
    <w:p>
      <w:r>
        <w:t>C/11251/2017</w:t>
      </w:r>
    </w:p>
    <w:p>
      <w:r>
        <w:rPr>
          <w:b/>
        </w:rPr>
        <w:t>E. 4.2.3</w:t>
      </w:r>
    </w:p>
    <w:p>
      <w:r>
        <w:t>L'appelante réclame que la contribution d'entretien lui soit versée avec effet rétroactif pour l'année précédant l'ouverture de l'action, soit le 22 mai 2016. Il peut être fait droit à cette conclusion, conformément à l'art. 176 al. 3 CC. Le montant fixé sera dû sous imputation des versements effectués en mains de l'appelante postérieurement à cette date, soit 1'600 euros en août 2016, 1'700 euros en septembre 2016, 3'000 euros en novembre 2016, 1'500 euros en décembre 2016, 1'600 euros en janvier 2017 et 2'800 euros en avril 2017. Il ne sera pas tenu compte, dans les imputations, des montants exposés par l'intimé en relation avec l'appartement de E______ et avec le hangar de I______, les frais relatifs à ces locations ayant été écartés des charges incompressibles des époux.</w:t>
      </w:r>
    </w:p>
    <w:p>
      <w:r>
        <w:t>Le montant de la contribution d'entretien n'étant fixé que par arrêt de ce jour, aucun intérêt moratoire n'est dû.</w:t>
      </w:r>
    </w:p>
    <w:p>
      <w:r>
        <w:rPr>
          <w:b/>
        </w:rPr>
        <w:t>E. 4.2.4</w:t>
      </w:r>
    </w:p>
    <w:p>
      <w:r>
        <w:t>Ce qui précède conduit à la modification du ch. 6 du dispositif entrepris.</w:t>
      </w:r>
    </w:p>
    <w:p>
      <w:r>
        <w:rPr>
          <w:b/>
        </w:rPr>
        <w:t>E. 5</w:t>
      </w:r>
    </w:p>
    <w:p>
      <w:r>
        <w:t>La répartition des frais et dépens de première instance n'est pas spécifiquement critiquée. Conforme à l'art. 107 al.1 let. c CPC, elle sera confirmée.</w:t>
      </w:r>
    </w:p>
    <w:p>
      <w:r>
        <w:t>Les frais judiciaires d'appel, arrêtés à 1'000 fr., seront mis à la charge des deux parties par moitiés en application des art. 106 al. 2 et 107 al. 1 let d CPC, vu l'issue de la cause et son caractère familial. Ils seront compensés avec l'avance de frais versée par l'appelante, laquelle est acquise à l'Etat de Genève. L'intimé sera en conséquence condamné à verser 500 fr. de ce chef à l'intimée.</w:t>
      </w:r>
    </w:p>
    <w:p>
      <w:r>
        <w:t>Compte tenu de la nature familiale du litige, chaque partie supportera ses propres dépens. * * * * *</w:t>
      </w:r>
    </w:p>
    <w:p>
      <w:r>
        <w:t>- 11/12 -</w:t>
      </w:r>
    </w:p>
    <w:p>
      <w:r>
        <w:t>C/11251/2017</w:t>
      </w:r>
    </w:p>
    <w:p>
      <w:r>
        <w:t>PAR CES MOTIFS, La Chambre civile : A la forme : Déclare recevable l'appel interjeté par A______ contre le jugement JTPI/6650/2018 rendu le 30 avril 2018 par le Tribunal de première instance dans la cause C/11251/2017- 11. Au fond : Modifie le ch. 6 du dispositif de ce jugement et, statuant à nouveau : Condamne B______ à verser à A______, par mois et d'avance, dès le 16 mai 2016, 2'280 fr. à titre de contribution à son entretien, sous imputation des sommes d'ores et déjà versées à ce titre postérieurement à cette date, soit 1'600 euros en août 2016, 1'700 euros en septembre 2016, 3'000 euros en novembre 2016, 1'500 euros en décembre 2016, 1'700 euros en janvier 2017 et 2'800 euros en avril 2017. Confirme le jugement attaqué pour le surplus. Déboute les parties de toutes autres conclusions. Sur les frais : Arrête les frais judiciaires d'appel à 1'000 fr., les met à hauteur de 500 fr. à la charge de A______ et de 500 fr. à la charge de B______ et dit qu'ils sont compensés avec l'avance de frais de 1'000 fr. versée par A______, laquelle est acquise à l'Etat de Genève. Condamne B______ à verser 500 fr. à ce titre à A______. Dit que chaque partie supportera ses propres dépens d'appel. Siégeant : Monsieur Ivo BUETTI, président; Madame Nathalie RAPP, juge; Madame Marguerite JACOT-DES-COMBES, juge suppléante; Madame Sandra MILLET, greffière.</w:t>
      </w:r>
    </w:p>
    <w:p>
      <w:r>
        <w:t>Le président : Ivo BUETTI</w:t>
      </w:r>
    </w:p>
    <w:p>
      <w:r>
        <w:t>La greffière : Sandra MILLET</w:t>
      </w:r>
    </w:p>
    <w:p>
      <w:r>
        <w:t>- 12/12 -</w:t>
      </w:r>
    </w:p>
    <w:p>
      <w:r>
        <w:t>C/11251/2017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