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ACJC/1536/2015 vom 12. Januar 2015</w:t>
      </w:r>
    </w:p>
    <w:p>
      <w:r>
        <w:t>GE Cour de justice, 2015-01-12, FR</w:t>
      </w:r>
    </w:p>
    <w:p>
      <w:r>
        <w:rPr>
          <w:b/>
        </w:rPr>
        <w:t xml:space="preserve">Quelle: </w:t>
      </w:r>
      <w:r>
        <w:t>https://mcp.opencaselaw.ch/entscheid/ge_gerichte_ACJC_1536_2015</w:t>
      </w:r>
    </w:p>
    <w:p>
      <w:r>
        <w:t>FR: GE_GERICHTE ACJC/1536/2015 du 12 janvier 2015</w:t>
      </w:r>
    </w:p>
    <w:p>
      <w:r>
        <w:t>IT: GE_GERICHTE ACJC/1536/2015 del 12 gennaio 2015</w:t>
      </w:r>
    </w:p>
    <w:p>
      <w:pPr>
        <w:pStyle w:val="Heading2"/>
      </w:pPr>
      <w:r>
        <w:t>Erwägungen</w:t>
      </w:r>
    </w:p>
    <w:p>
      <w:r>
        <w:rPr>
          <w:b/>
        </w:rPr>
        <w:t>E. 1.1</w:t>
      </w:r>
    </w:p>
    <w:p>
      <w:r>
        <w:t>L'appel est dirigé contre une décision finale de première instance (art. 308 al. 1 CPC) dont la valeur litigieuse est supérieure à 10'000 fr. au vu des montants des contributions mensuelles à l'entretien de l'ex-épouse et des trois enfants, litigieuses respectivement à hauteur de 500 fr. et de sommes entre 200 fr. (800 fr. – 600 fr.) et 350 fr. (1'000 fr. – 650 fr.) (art. 308 al. 2 et 92 al. 2 CPC). L'appel a été déposé dans le délai de 30 jours à compter de la notification de la décision motivée (art. 311 al. 1 CPC) et il respecte la forme prescrite (art. 130, 131 et 311 CPC). L'appel est ainsi recevable. Il en va de même de la réponse de l'intimée et de son appel joint (art. 312 et 313 al. 1 CPC) ainsi que des réplique et duplique des parties, déposées dans le délai légal, respectivement ceux impartis à cet effet. Pour des motifs de clarté, A______ et B______ seront ci-après désignés, respectivement, comme l'appelant et l'intimée.</w:t>
      </w:r>
    </w:p>
    <w:p>
      <w:r>
        <w:t>- 8/20 -</w:t>
      </w:r>
    </w:p>
    <w:p>
      <w:r>
        <w:t>C/25123/2013</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 Au vu de cette jurisprudence, les pièces nouvelles produites par l'intimée sont toutes recevables, dans la mesure où elles concernent des éléments du patrimoine de l'appelant et les charges des enfants, et qu'elles sont donc pertinentes dans le cadre de l'examen des contributions à l'entretien de ces derniers.</w:t>
      </w:r>
    </w:p>
    <w:p>
      <w:r>
        <w:rPr>
          <w:b/>
        </w:rPr>
        <w:t>E. 1.3</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En tant qu'elle concerne l'attribution des droits parentaux et la contribution à l'entretien des enfants, la présente cause est régie par les maximes inquisitoire et d'office illimitées (art. 296 al. 1 CPC), de sorte que la Cour n'est pas liée par les conclusions des parties (art. 296 al. 3 CPC) ni par l'interdiction de la reformatio in pejus (ATF 129 III 417 consid. 2.1.1; arrêt du Tribunal fédéral 5A_757/2013 du 14 juillet 2014 consid. 2.1). L'obligation du juge d'établir d'office les faits n'est cependant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 La contribution post-divorce à l'entretien de l'appelante est en revanche régie par la maxime des débats et celle de disposition (art. 277 al. 1, 55 al. 1 et 58 al. 1 CPC).</w:t>
      </w:r>
    </w:p>
    <w:p>
      <w:r>
        <w:rPr>
          <w:b/>
        </w:rPr>
        <w:t>E. 2</w:t>
      </w:r>
    </w:p>
    <w:p>
      <w:r>
        <w:t>L'intimée reproche au premier juge de ne pas lui avoir attribué l'autorité parentale exclusive.</w:t>
      </w:r>
    </w:p>
    <w:p>
      <w:r>
        <w:rPr>
          <w:b/>
        </w:rPr>
        <w:t>E. 2.1</w:t>
      </w:r>
    </w:p>
    <w:p>
      <w:r>
        <w:t>Le juge règle les droits et les devoirs des père et mère conformément aux dispositions régissant les effets de la filiation. Cette réglementation porte</w:t>
      </w:r>
    </w:p>
    <w:p>
      <w:r>
        <w:t>- 9/20 -</w:t>
      </w:r>
    </w:p>
    <w:p>
      <w:r>
        <w:t>C/25123/2013 notamment sur (1) l'autorité parentale, (2) la garde de l'enfant, (3) les relations personnelles ou la participation de chaque parent à la prise en charge de l'enfant et (4) la contribution d'entretien (art. 133 al. 1 CC). Le juge tient compte de toutes les circonstances importantes pour le bien de l'enfant; il prend en considération une éventuelle requête commune des parents et, autant que possible, l'avis de l'enfant (art. 133 al. 2 CC). L'enfant est soumis, pendant sa minorité, à l'autorité parentale conjointe de ses père et mère (art. 296 al. 2 CC). Dans le cadre d'une procédure de divorce ou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Contrairement à ce qui prévalait précédemment, le divorce n'a généralement plus d'influence sur la titularité de l'autorité parentale. L'attribution de l'autorité parentale conjointe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(arrêt du Tribunal fédéral 5A_985/2014 du 25 juin 2015 consid. 3.1.1; cf. également Message du Conseil fédéral du 16 novembre 2011, FF 8315, p. 8340).</w:t>
      </w:r>
    </w:p>
    <w:p>
      <w:r>
        <w:rPr>
          <w:b/>
        </w:rPr>
        <w:t>E. 2.2</w:t>
      </w:r>
    </w:p>
    <w:p>
      <w:r>
        <w:t>En l'espèce, l'intimée considère que l'autorité parentale exclusive doit lui être confiée compte tenu des importantes difficultés de communication des parties. De telles difficultés ne sont pas contestées et elles ressortent du dossier, en particulier de l'instauration d'une curatelle pour organiser le droit de visite à partir de la séparation des parties. Elles se sont visiblement estompées depuis lors dans la mesure où l'intimée a expliqué en première instance que le droit de visite était respecté et qu'elle ne requiert plus en appel le maintien de la curatelle d'organisation précitée. Les seuls problèmes de communication des ex-époux ne justifient pas l'attribution de l'autorité parentale exclusive à l'intimée. Ainsi que l'a relevé le premier juge, ces difficultés n'ont pas empêché les parents de trouver un accord et de s'organiser en relation avec le droit de visite. Il n'apparaît pas non plus que les parties n'aient pas réussi à s'entendre au sujet de décisions importantes concernant les enfants, ni que le maintien de l'autorité parentale conjointe serait pour d'autres raisons préjudiciable à leurs intérêts.</w:t>
      </w:r>
    </w:p>
    <w:p>
      <w:r>
        <w:t>- 10/20 -</w:t>
      </w:r>
    </w:p>
    <w:p>
      <w:r>
        <w:t>C/25123/2013 Il n'y a ainsi pas de raison suffisante de déroger à la règle selon laquelle l'autorité parentale conjointe est maintenue après le divorce et le chiffre 5 du dispositif du jugement querellé sera confirmé.</w:t>
      </w:r>
    </w:p>
    <w:p>
      <w:r>
        <w:rPr>
          <w:b/>
        </w:rPr>
        <w:t>E. 3</w:t>
      </w:r>
    </w:p>
    <w:p>
      <w:r>
        <w:t>juillet 2014 consid. 4.2.6.1). Il est conforme à la jurisprudence d'intégrer une part du loyer du parent gardien dans les charges de l'enfant (arrêt du Tribunal fédéral 5A_646/2012 du 30 novembre 2012 consid. 4.6.3). Ladite part peut être fixée à 20% du loyer pour un enfant et à 30% pour deux enfants (BASTONS BULLETTI, L'entretien après divorce, SJ 2007 II 77, p. 102). La règle selon laquelle les frais de véhicule ne peuvent être pris en considération que si celui-ci est indispensable au débiteur personnellement ou nécessaire à l'exercice de la profession ne vaut que lorsqu'on s'en tient au minimum d'existence LP.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du Tribunal 5A_703/2011 du 7 mars 2012 consid. 4.2 et 5A_608/2011 du 13 décembre 2011 consid. 6.2.4).</w:t>
      </w:r>
    </w:p>
    <w:p>
      <w:r>
        <w:rPr>
          <w:b/>
        </w:rPr>
        <w:t>E. 3.1</w:t>
      </w:r>
    </w:p>
    <w:p>
      <w:r>
        <w:t>Comme vu ci-avant, le juge du divorce doit statuer sur la contribution aux besoins de l'enfant conformément aux dispositions régissant les effets de la filiation (art. 133 al. 1 ch. 4 CC). Il peut fixer la contribution d'entretien pour une période allant au-delà de l'accès à la majorité (art. 133 al. 3 CC).</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(art. 285 al. 3 CC). Le juge peut ordonner que la contribution d'entretien soit augmentée ou réduite dès que des changements déterminés interviennent dans les besoins de l'enfant, les ressources des père et mère ou le coût de la vie (art. 286 al. 1 CC). Les différents critères prévus à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Les montants des allocations familiales à Genève sont de 300 fr. par mois pour l'enfant jusqu'à 16 ans et de 400 fr. par mois pour l'enfant de 16 à 20 ans (art. 8 al. 2 de la loi sur les allocations familiales - LAF; RSG J 5.10), étant précisé que ces montants sont augmentés de 100 fr. pour le troisième enfant et chacun des enfants suivants (art. 8 al. 4 let. b LAF).</w:t>
      </w:r>
    </w:p>
    <w:p>
      <w:r>
        <w:t>- 11/20 -</w:t>
      </w:r>
    </w:p>
    <w:p>
      <w:r>
        <w:t>C/25123/2013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(arrêts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et 137 III 102 consid. 4.2.2.2; arrêt du Tribunal fédéral 5A_11/2014 du</w:t>
      </w:r>
    </w:p>
    <w:p>
      <w:r>
        <w:rPr>
          <w:b/>
        </w:rPr>
        <w:t>E. 3.2</w:t>
      </w:r>
    </w:p>
    <w:p>
      <w:r>
        <w:t>En l'espèce, la situation financière des parties, qu'il est nécessaire d'examiner préalablement, se présente de la manière suivante :</w:t>
      </w:r>
    </w:p>
    <w:p>
      <w:r>
        <w:rPr>
          <w:b/>
        </w:rPr>
        <w:t>E. 3.2.1</w:t>
      </w:r>
    </w:p>
    <w:p>
      <w:r>
        <w:t>Le revenu de l'appelant s'élève à 5'750 fr. nets par mois.</w:t>
      </w:r>
    </w:p>
    <w:p>
      <w:r>
        <w:t>- 12/20 -</w:t>
      </w:r>
    </w:p>
    <w:p>
      <w:r>
        <w:t>C/25123/2013 Ses charges mensuelles comprennent, outre le montant de base OP de 1'200 fr., la prime d'assurance maladie de 432 fr. 15 et les impôts de 300 fr. L'ex-époux invoque aussi des frais relatifs à l'exercice du droit de visite de 150 fr., sans cependant les étayer ni même expliquer en quoi ils consistent, de sorte qu'il n'en sera pas tenu compte. L'appelant persiste vainement à se prévaloir d'un loyer de 1'000 fr., qu'il verserait en espèces à sa mère. Il s'appuie en effet à cet égard, d'une part, sur une attestation de cette dernière du 2 août 2014, qui ne peut toutefois pas être tenue pour une preuve, émanant d'un parent d'une partie n'ayant en outre pas été entendu de manière contradictoire. L'ex-époux se réfère, d'autre part, aux relevés de son compte courant versés à la procédure, concernant la période de janvier à juin 2014, dont il ressort qu'il a transféré aux mois de janvier, mars, avril et mai des montants de 1'000 fr. ou plus, au titre de "loyer" ou de "remboursement loyer", sur un autre compte dont il est titulaire; il a également prélevé un montant de 1'000 fr. en espèces au mois de juin 2014. Il confirme à ce sujet provisionner de cette manière son compte épargne depuis lequel il retire les montants du loyer en espèces qu'il remet ensuite à sa mère. Or, les relevés bancaires précités ne démontrent pas l'affectation finale des montants transférés sur l'autre compte de l'appelant. Son explication selon laquelle il provisionne préalablement son compte épargne dans le but de s'assurer de disposer du montant du loyer à la fin du mois n'est en outre pas crédible, dans la mesure où il lui suffirait à cette fin de virer directement le montant en question à sa mère. Contrairement à ce que l'appelant suggère par ailleurs, le fait que cette dernière soit un parent ne justifie pas un versement du loyer en espèces. Le versement d'un loyer est enfin d'autant moins crédible que l'appelant est propriétaire en main commune en sa qualité d'héritier, depuis le décès de son père en novembre 2013, du bien immobilier dont il occupe une partie. L'appelant affirme également à tort que, si un loyer n'était pas retenu dans ses charges, il devrait en aller de même pour son ex-épouse, qui n'a produit que son contrat de bail - lequel n'aurait pas plus de valeur que l'attestation signée par sa mère -, sans démontrer effectivement acquitter un loyer. L'ex-époux occulte ainsi le fait que, contrairement à sa situation lui permettant de potentiellement bénéficier gratuitement d'un logement, l'intimée, qui occupe toujours l'ancien domicile conjugal, ne peut pas échapper au paiement d'un loyer. L'ex-époux a au surplus confirmé ne pas participer au loyer de son amie. L'appelant fait enfin valoir des frais de véhicule de 384 fr. 10, sans exposer à quoi ce montant correspond, les montants des primes d'assurance et des impôts relatifs à son véhicule et sa moto ressortant du dossier n'ascendant en tous les cas pas à ce montant. Il ne fait en outre plus valoir le coût d'un abonnement général CFF. Il ne peut en tout état de cause pas se prévaloir à la fois du coût de ses véhicules et de celui dudit abonnement compte tenu de son revenu. A défaut d'explications et de preuves exhaustives au sujet des frais relatifs auxdits véhicules, le coût de</w:t>
      </w:r>
    </w:p>
    <w:p>
      <w:r>
        <w:t>- 13/20 -</w:t>
      </w:r>
    </w:p>
    <w:p>
      <w:r>
        <w:t>C/25123/2013 l'abonnement général de 330 fr. par mois sera pris en considération au titre de frais de transport. Les charges mensuelles de l'appelant ascendent ainsi à 2'262 fr. 15 (1'200 fr. + 432 fr. 15 + 300 fr. + 330 fr.), ce qui lui laisse un disponible d'environ 3'500 fr. (5'750 fr. – 2'262 fr. 15 = 3'487 fr. 85).</w:t>
      </w:r>
    </w:p>
    <w:p>
      <w:r>
        <w:rPr>
          <w:b/>
        </w:rPr>
        <w:t>E. 3.2.2</w:t>
      </w:r>
    </w:p>
    <w:p>
      <w:r>
        <w:t>L'intimée perçoit un salaire de 3'300 fr. nets par mois de son emploi exercé à un taux de 50%. Dans la mesure où elle assume la garde des trois enfants des parties dont le plus jeune a moins de 10 ans, il ne peut pas être exigé d'elle qu'elle augmente son taux d'activité et, contrairement à l'avis de l'appelant à ce sujet, il ne se justifie ainsi pas de déterminer si elle aurait la possibilité d'augmenter son taux d'activité. Ses charges mensuelles comprennent, en sus du montant de base de 1'350 fr., une part du loyer, qui sera fixée à 60%, correspondant au montant arrondi de 1'460 fr. (60/100 × 2'420 fr. = 1'452 fr.), les 40% restants, correspondant à 960 fr., étant imputés aux charges des enfants. Cette quote-part peut en effet être retenue pour déterminer les frais de logement d'une fratrie de trois enfants, dans la mesure où la doctrine retient respectivement 20% et 30% pour un et deux enfants. Les charges mensuelles de l'ex-épouse comprennent en outre la prime d'assurance maladie de 400 fr. et les frais relatifs à son véhicule, comprenant la prime d'assurance de 48 fr. 30, l'impôt de 24 fr. 30, le macaron de 16 fr. ainsi que le coût de l'essence évalué à 60 fr. par mois, totalisant ainsi environ environ 150 fr. par mois. Au sujet de sa charge fiscale, l'intimée a expliqué dans ses dernières écritures de première instance que son bordereau d'impôts 2012, versé à la procédure, n'était pas déterminant dans la mesure où elle avait reçu une prime de licenciement de 23'000 fr. durant l'année précitée. Son impôt devait dès lors plutôt être déterminé sur la base des montants versés actuellement à l'administration fiscale de 250 fr. en moyenne. Il ressort en effet que l'intimée a versé à ladite autorité 228 fr. par mois en moyenne de mai à août 2014 ([328 fr. + 200 fr. + 256 fr. + 128 fr.] ÷ 4), de sorte que le montant qu'elle allègue au titre de charge fiscale peut être retenu. Les charges mensuelles de l'intimée ascendent ainsi à 3'610 fr. (1'350 fr. + 1'460 fr. + 400 fr. + 150 fr. + 250 fr.), en conséquence de quoi son budget présente un déficit de 310 fr. (3'300 fr. – 3'610 fr.).</w:t>
      </w:r>
    </w:p>
    <w:p>
      <w:r>
        <w:rPr>
          <w:b/>
        </w:rPr>
        <w:t>E. 3.3</w:t>
      </w:r>
    </w:p>
    <w:p>
      <w:r>
        <w:t>Au vu du confortable disponible dont jouit l'appelant et du fait que l'intimée, qui se trouve quant à elle dans une situation déficitaire, assume la garde des enfants, il se justifie de mettre l'intégralité du coût de l'entretien de ces derniers à la charge de l'ex-époux.</w:t>
      </w:r>
    </w:p>
    <w:p>
      <w:r>
        <w:t>- 14/20 -</w:t>
      </w:r>
    </w:p>
    <w:p>
      <w:r>
        <w:t>C/25123/2013 Les charges mensuelles des enfants comprennent, en sus du minimum vital de 600 fr. pour les deux aînés et de 400 fr. pour le cadet âgé de moins de 10 ans, pour chacun d'eux, une part du loyer de 320 fr. (960 fr. ÷ 3; cf. ci-avant consid. 3.2.2), pour C______, la prime d'assurance maladie de 191 fr. 10, le coût des cuisines scolaires de 120 fr., du transport de 45 fr., de téléphonie mobile d'environ 50 fr., de cours d'escalade de 63 fr. 35, de journées de ski de 16 fr., de camps scolaire de 25 fr., pour D______, la prime d'assurance maladie de 171 fr. 60, le coût des cuisines scolaires de 90 fr., des transports de 15 fr., de cours de natation de 36 fr. 65 et de journées de ski de 16 fr. et, pour E______, la prime d'assurance maladie de 152 fr., le coût des cuisines scolaires de 90 fr., des transports de 15 fr., de cours de jardinage de 40 fr. et de cours de gymnastique de 70 fr. Fondé sur les chiffres qui précèdent, le coût de l'entretien des enfants s'élève à 1'430 fr. 45 pour C______, à 1'249 fr. 25 pour D______ et à 1'087 fr. pour E______. Il totalise ainsi 3'766 fr. 70, soit, après déduction des allocations familiales de 1'000 fr. par mois (300 fr. par enfant et 100 fr. supplémentaire pour le troisième enfant), le montant arrondi de 2'800 fr. Ce montant correspond à la somme des contributions à l'entretien des enfants fixées par le premier juge, compte tenu de l'âge actuel des enfants, de 800 fr. pour C______ qui n'a pas atteint l'âge de 12 ans, et de 1'000 fr. pour chacun des aînés. Ces montants correspondent également approximativement aux besoins des enfants pris individuellement, après déduction d'une allocation familiale moyenne de 330 fr., le coût de l'entretien de C______ pouvant ainsi être arrêté à 1'100 fr. (1'430 fr. – 330 fr.), celui de D______ à 920 fr. (1'250 fr. – 330 fr.) et celui de E______ à 757 fr. (1'087 fr. – 330 fr.). Il n'est au surplus pas contestable que le coût de l'entretien de E______ augmentera d'environ 200 fr. dès ses 12 ans, à l'image de celui de ses deux frères aînés. Contrairement aux conclusions prises par l'appelant, il n'existe par ailleurs aucune raison de ne pas fixer, comme l'a fait le premier juge, les contributions à l'entretien des enfants pour la période allant au-delà de l'accès à leur majorité, et celles-ci sont payables d'avance. Enfin, la charge des contributions d'entretien, qui totaliseront au maximum 3'000 fr. par mois, n'entame pas le minimum vital de l'appelant, lequel jouit d'un disponible d'environ 500 fr. au minimum après leur paiement (3'500 fr. – 500 fr.). Au vu de ce qui précède, le chiffre 8 du dispositif du jugement querellé sera confirmé.</w:t>
      </w:r>
    </w:p>
    <w:p>
      <w:r>
        <w:rPr>
          <w:b/>
        </w:rPr>
        <w:t>E. 3.4</w:t>
      </w:r>
    </w:p>
    <w:p>
      <w:r>
        <w:t>L'appelant conclut également à l'annulation du chiffre 9 dudit dispositif, concernant l'indexation des contributions d'entretien à l'indice suisse des prix à la</w:t>
      </w:r>
    </w:p>
    <w:p>
      <w:r>
        <w:t>- 15/20 -</w:t>
      </w:r>
    </w:p>
    <w:p>
      <w:r>
        <w:t>C/25123/2013 consommation, sans motivation spécifique. Cette partie du jugement sera néanmoins annulée, dans la mesure où l'indexation automatique aux variations du coût de la vie des contributions à l'entretien des enfants ne repose sur aucune base légale. Le législateur n'a en effet pas prévu cette possibilité mais celle, plus large pour le juge, d'ordonner une augmentation ou une réduction de la contribution d'entretien de l'enfant en cas de changements déterminés intervenant dans les besoins de l'enfant, les ressources des père et mère ou le coût de la vie. De tels changements futurs, autres que l'augmentation déjà prise en compte du coût de l'entretien des enfants dès l'âge de 12 ans, ne ressortent cependant pas du dossier. Les parties pourront de toute manière solliciter elles-mêmes une modification des contributions à l'entretien des enfants dans l'hypothèse où un tel changement se produirait (cf. art. 286 al. 2 CC).</w:t>
      </w:r>
    </w:p>
    <w:p>
      <w:r>
        <w:rPr>
          <w:b/>
        </w:rPr>
        <w:t>E. 4</w:t>
      </w:r>
    </w:p>
    <w:p>
      <w:r>
        <w:t>L'appelant considère que l'intimée ne peut pas prétendre à une contribution post-divorce.</w:t>
      </w:r>
    </w:p>
    <w:p>
      <w:r>
        <w:rPr>
          <w:b/>
        </w:rPr>
        <w:t>E. 4.1</w:t>
      </w:r>
    </w:p>
    <w:p>
      <w:r>
        <w:t>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w:t>
      </w:r>
    </w:p>
    <w:p>
      <w:r>
        <w:t>- 16/20 -</w:t>
      </w:r>
    </w:p>
    <w:p>
      <w:r>
        <w:t>C/25123/2013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et 132 III 598 consid. 9.2; arrêt du Tribunal fédéral 5A_777/2014 du 4 mars 2015 consid. 5.1.2).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w:t>
      </w:r>
    </w:p>
    <w:p>
      <w:r>
        <w:t>- 17/20 -</w:t>
      </w:r>
    </w:p>
    <w:p>
      <w:r>
        <w:t>C/25123/2013</w:t>
      </w:r>
    </w:p>
    <w:p>
      <w:r>
        <w:rPr>
          <w:b/>
        </w:rPr>
        <w:t>E. 4.2</w:t>
      </w:r>
    </w:p>
    <w:p>
      <w:r>
        <w:t>En l'espèce, indépendamment de la durée du mariage, il n'est pas contestable que celui-ci a concrètement influencé la situation financière de l'intimée dès lors que les parties ont eu trois enfants, dont cette dernière assume toujours la garde. Les besoins actuels de l'intimée ont été arrêtés ci-avant à 3'610 fr. (cf. supra consid. 3.2.2). L'ex-épouse n'allègue pas que son train de vie actuel est inférieur à celui qu'elle a connu durant la vie commune des époux et que, pour maintenir ce dernier, elle devrait faire face à des dépenses supplémentaires. Le montant de 3'610 fr. correspond dès lors à la limite supérieure de son entretien convenable. L'intimée perçoit un revenu net de 3'300 fr. et il ne peut être exigé d'elle qu'elle augmente pour l'heure son taux d'activité. Elle subit ainsi un déficit de 310 fr. (cf. supra consid. 3.2.2). Elle ne peut dès lors prétendre à une contribution à son entretien qu'à hauteur du montant arrondi de 300 fr. par mois, que l'appelant peut assumer dans la mesure où son disponible s'élève au minimum à environ 500 fr. (cf. supra consid. 3.3). La durée de la contribution d'entretien post-divorce jusqu'au 30 octobre 2018, date retenue pour la reprise d'une activité à plein-temps par l'intimée et non remise en cause par cette dernière, est exempte de critique, contrairement à la position de l'appelant selon lequel un revenu hypothétique correspondant au revenu d'une activité de 70% doit être imputé à l'intimée. Le cadet des parties n'aura en effet que 12 ans le 30 octobre 2018 et la jurisprudence ne permet pas, en principe, d'exiger la reprise d'une activité à plus de 50% par le crédirentier assumant la garde des enfants avant que le plus jeune n'ait atteint l'âge de 16 ans révolus. La fixation du dies a quo de la contribution à l'entretien de l'intimée au 1er janvier 2015 n'est en revanche pas fondée. Il dépend en effet par définition de l'entrée en force du présent arrêt, de sorte qu'il ne peut pas être fixé à une date antérieure et qu'il n'a du reste pas à être précisé dans le dispositif. Le chiffre 10 du dispositif du jugement querellé sera dès lors annulé et réformé dans le sens précité.</w:t>
      </w:r>
    </w:p>
    <w:p>
      <w:r>
        <w:rPr>
          <w:b/>
        </w:rPr>
        <w:t>E. 5</w:t>
      </w:r>
    </w:p>
    <w:p>
      <w:r>
        <w:t>Les frais judiciaires d'appel seront fixés à 2'500 fr. (art. 96 CPC cum art. 30 et 35 du Règlement fixant le tarif des frais en matière civile, RTFMC - E 1 05.10) et compensés par l'avance de frais effectuée par l'appelant à hauteur de 1'250 fr. (art. 111 al. 1 CPC). Au vu de la nature familiale du litige, les frais judiciaires seront entièrement mis à la charge de ce dernier, qui sera dès lors condamné à en verser le solde de 1'250 fr., bien que l'intimée succombe partiellement, compte tenu de la situation financière moins favorable de l'ex-épouse (art. 104, 105 et 107 al. 1 let. c CPC). Les parties supporteront au surplus leurs propres dépens.</w:t>
      </w:r>
    </w:p>
    <w:p>
      <w:r>
        <w:t>- 18/20 -</w:t>
      </w:r>
    </w:p>
    <w:p>
      <w:r>
        <w:t>C/25123/2013 La Cour, statuant de nouveau, doit se prononcer sur les frais de première instance (art 318 al. 3 CPC). Ils seront confirmés dans la mesure où ils ont été arrêtés et répartis conformément aux dispositions susmentionnées. * * * * *</w:t>
      </w:r>
    </w:p>
    <w:p>
      <w:r>
        <w:t>- 19/20 -</w:t>
      </w:r>
    </w:p>
    <w:p>
      <w:r>
        <w:t>C/25123/2013 PAR CES MOTIFS, La Chambre civile : A la forme : Déclare recevables l'appel interjeté le 12 février 2015 par A______ et l'appel joint interjeté le 12 mai 2015 par B______ contre les chiffres 5 et 8 à 10 du dispositif du jugement JTPI/178/2015 rendu le 12 janvier 2015 par le Tribunal de première instance sur divorce dans la cause C/25123/2013-2. Au fond : Annule les chiffres 9 et 10 du dispositif du jugement querellé. Cela fait, statuant à nouveau : Condamne A______ à verser à B______, au titre de contribution d'entretien, par mois et d'avance, la somme de 300 fr. jusqu'au 30 octobre 2018. Confirme le jugement querellé pour le surplus. Déboute les parties de toutes autres conclusions. Sur les frais : Arrête les frais judiciaires d'appel à 2'500 fr., les met à la charge de A______ et les compense partiellement avec l'avance de frais effectuée par ce dernier, restant acquise à l'Etat de Genève. Condamne A______ à verser 1'250 fr. à l'Etat de Genève, soit pour lui les Services financiers du Pouvoir judiciaire, au titre du solde des frais judiciaires d'appel. Dit que chaque partie supporte ses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- 20/20 -</w:t>
      </w:r>
    </w:p>
    <w:p>
      <w:r>
        <w:t>C/25123/2013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