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ACJC/1531/2018 vom 6. November 2018</w:t>
      </w:r>
    </w:p>
    <w:p>
      <w:r>
        <w:t>GE Cour de justice, 2018-11-06, FR</w:t>
      </w:r>
    </w:p>
    <w:p>
      <w:r>
        <w:rPr>
          <w:b/>
        </w:rPr>
        <w:t xml:space="preserve">Quelle: </w:t>
      </w:r>
      <w:r>
        <w:t>https://mcp.opencaselaw.ch/entscheid/ge_gerichte_ACJC_1531_2018</w:t>
      </w:r>
    </w:p>
    <w:p>
      <w:r>
        <w:t>FR: GE_GERICHTE ACJC/1531/2018 du 6 novembre 2018</w:t>
      </w:r>
    </w:p>
    <w:p>
      <w:r>
        <w:t>IT: GE_GERICHTE ACJC/1531/2018 del 6 novembre 2018</w:t>
      </w:r>
    </w:p>
    <w:p>
      <w:pPr>
        <w:pStyle w:val="Heading2"/>
      </w:pPr>
      <w:r>
        <w:t>Erwägungen</w:t>
      </w:r>
    </w:p>
    <w:p>
      <w:r>
        <w:rPr>
          <w:b/>
        </w:rPr>
        <w:t>E. 1.1</w:t>
      </w:r>
    </w:p>
    <w:p>
      <w:r>
        <w:t>L'appel est recevable contre les décisions de première instance sur mesures provisionnelles, dans les causes dont la valeur litigieuse, au dernier état des conclusions devant l'autorité inférieure, est, comme en l'espèce, supérieure à 10'000 fr. (art. 92 al. 2 et 308 al. 1 let. b et al. 2 CPC).</w:t>
      </w:r>
    </w:p>
    <w:p>
      <w:r>
        <w:rPr>
          <w:b/>
        </w:rPr>
        <w:t>E. 1.2</w:t>
      </w:r>
    </w:p>
    <w:p>
      <w:r>
        <w:t>Formé en temps utile et selon la forme prescrite par la loi (art. 130 al. 1, 311 al. 1 et 314 al. 1 CPC), l'appel est recevable.</w:t>
      </w:r>
    </w:p>
    <w:p>
      <w:r>
        <w:rPr>
          <w:b/>
        </w:rPr>
        <w:t>E. 1.3</w:t>
      </w:r>
    </w:p>
    <w:p>
      <w:r>
        <w:t>La Cour revoit la cause en fait et en droit avec un plein pouvoir d'examen (art. 310 CPC). Celle-ci, qui porte sur la contribution due à l'entretien d'un enfant mineur, est soumise aux maximes inquisitoire illimitée et d'office, de sorte que la Cour établit les faits d'office et n'est pas liée par les conclusions des parties (art. 296 CPC).</w:t>
      </w:r>
    </w:p>
    <w:p>
      <w:r>
        <w:t>La procédure sommaire s'applique aux mesures provisionnelles à rendre dans le cadre d'une demande d'aliments indépendante (art. 248 let. d CPC). La cognition du juge est ainsi limitée à la simple vraisemblance des faits et à un examen sommaire du droit en se fondant sur des moyens de preuve immédiatement disponibles (ATF 138 III 636 consid. 4.3.2; arrêt du Tribunal fédéral 5A_812/2015 du 6 septembre 2016 consid. 5.2). La cause étant en état d'être jugée, il ne sera donné suite ni à la conclusion des parties tendant à l'ouverture de</w:t>
      </w:r>
    </w:p>
    <w:p>
      <w:r>
        <w:t>- 6/11 -</w:t>
      </w:r>
    </w:p>
    <w:p>
      <w:r>
        <w:t>C/3296/2018 probatoires, ni à celles tendant au renvoi de la cause au premier juge pour nouvelle décision.</w:t>
      </w:r>
    </w:p>
    <w:p>
      <w:r>
        <w:rPr>
          <w:b/>
        </w:rPr>
        <w:t>E. 2</w:t>
      </w:r>
    </w:p>
    <w:p>
      <w:r>
        <w:t>juillet 2018 consid. 4.2.1 destiné à la publication).</w:t>
      </w:r>
    </w:p>
    <w:p>
      <w:r>
        <w:rPr>
          <w:b/>
        </w:rPr>
        <w:t>E. 3.1</w:t>
      </w:r>
    </w:p>
    <w:p>
      <w:r>
        <w:t>Selon l'art. 276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w:t>
      </w:r>
    </w:p>
    <w:p>
      <w:r>
        <w:t>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 2009 I 627, 633). Comme sous l'ancien droit, la répartition de l'entretien de l'enfant doit être effectuée non seulement en fonction des ressources de chacun des parents, mais également de leur contribution effective aux soins et à l'éducation (art. 286 al. 2 CC).</w:t>
      </w:r>
    </w:p>
    <w:p>
      <w:r>
        <w:t>L'égalité de traitement doit être respectée à l'égard de tous les enfants d'un même débirentier, sauf si des circonstances particulières justifient une différence, comme leur âge, ou lorsqu'ils vivent dans des ménages différents, dont la situation économique et financière est différente (ATF 137 III 59 consid. 4.2; 126 III 353, JdT 2002 I 162 consid. 2b).</w:t>
      </w:r>
    </w:p>
    <w:p>
      <w:r>
        <w:t>Enfin, l'obligation d'entretien trouve sa limite dans la capacité contributive du débirentier, en ce sens que le minimum vital de celui-ci doit être préservé (ATF 135 III 66 consid. 1; 123 III 1 consid. 3b/bb et consid. 5 in fine).</w:t>
      </w:r>
    </w:p>
    <w:p>
      <w:r>
        <w:t>- 7/11 -</w:t>
      </w:r>
    </w:p>
    <w:p>
      <w:r>
        <w:t>C/3296/2018</w:t>
      </w:r>
    </w:p>
    <w:p>
      <w:r>
        <w:rPr>
          <w:b/>
        </w:rPr>
        <w:t>E. 3.2</w:t>
      </w:r>
    </w:p>
    <w:p>
      <w:r>
        <w:t>En l'espèce, le premier juge a considéré que le disponible de l'intimé, arrêté à 995 fr., devait être affecté en priorité aux charges de son fils du second lit, la mère de celui-ci réalisant un salaire mensuel net de 1'200 fr. environ, "juste suffisant" pour couvrir ses propres charges incompressibles.</w:t>
      </w:r>
    </w:p>
    <w:p>
      <w:r>
        <w:t>A teneur des fiches de salaire 2017 produites, l'intimé a réalisé en 2017 un salaire mensuel net moyen, impôt à la source déduit, de 3'567 fr. Les fiches de salaire produites pour février et mars 2018 ne pouvant à cet égard être tenues pour déterminantes, notamment en raison des vacances prises par l'intimé en début d'année, aucun élément ne rend vraisemblable que son salaire net pourrait être inférieur en 2018 par rapport à ce qu'il a été en 2017. Le premier juge a en conséquence retenu avec raison pour l'intimé un revenu mensuel net, respectivement une capacité de gain de 3'567 fr. en se fondant sur le salaire réalisé en 2017. L'épouse de l'intimé a quant à elle réalisé en 2017 un salaire mensuel net moyen de 1'350 fr., celui de janvier et février 2018 ne pouvant pas davantage être tenu pour déterminant, compte tenu des vacances prises à cette période. Aucun revenu hypothétique ne peut en outre être retenu. L'appelant ne fait pas valoir que l'un ou l'autre des époux pourrait travailler davantage et aucun élément ne vient à l'appui d'une telle possibilité.</w:t>
      </w:r>
    </w:p>
    <w:p>
      <w:r>
        <w:t>Le revenu de l'épouse de l'intimé suffit à couvrir ses charges personnelles (1'218 fr. comme retenu par le premier juge), le solde de 132 fr. étant absorbé par sa participation aux frais du véhicule automobile dont les deux époux sont codétenteurs (soit 22 fr. + 44 fr., cf. infra) et par celle au loyer commun (66 fr.).</w:t>
      </w:r>
    </w:p>
    <w:p>
      <w:r>
        <w:t>En ce qui concerne les charges de l'intimé, les frais de Billag, des assurances ménage, complémentaire LCA, prévoyance et protection juridique, enfin les frais de téléphone portable ont été écartés à juste titre, ce que l'intimé ne conteste pas. Le remboursement mensuel de 50 fr. en faveur du Service d'assistance juridique a été retenu avec raison, le remboursement de l'aide accordée pour la procédure d'appel venant s'ajouter à celui de l'aide accordée en première instance, lequel remboursement est vraisemblablement venu à échéance en août 2018. L'intimé et son épouse étant codétenteurs du véhicule automobile utilisé par l'intimé pour se rendre quotidiennement à son travail, seule la moitié de la prime d'assurance- véhicule (soit 22 fr. en chiffres ronds) et de l'impôt-véhicule (soit 44 fr. en chiffres ronds) doit être pris en compte dans ses charges, ce à quoi s'ajoutent les frais d'essence non contestés (40 fr.), les frais de transport de l'intimé étant ainsi de 106 fr. en chiffres ronds (au lieu de 172 fr. comme retenu par le premier juge). Conformément à la jurisprudence, le premier juge a intégré une partie du coût du logement familial dans les charges de l'enfant du second lit (arrêts du Tribunal fédéral 5A_464/2012 du 30 novembre 2012 consid. 4.6.3; 5P_370/2004 du</w:t>
      </w:r>
    </w:p>
    <w:p>
      <w:r>
        <w:rPr>
          <w:b/>
        </w:rPr>
        <w:t>E. 5</w:t>
      </w:r>
    </w:p>
    <w:p>
      <w:r>
        <w:t>janvier 2005 consid. 4). L'inclusion de 15% du loyer (ou 252 fr.) dans les charges de l'enfant n'étant pas critiquable (celui-ci partageant le logement avec ses deux parents), les frais de logement de l'intimé, déduction faite de la participation</w:t>
      </w:r>
    </w:p>
    <w:p>
      <w:r>
        <w:t>- 8/11 -</w:t>
      </w:r>
    </w:p>
    <w:p>
      <w:r>
        <w:t>C/3296/2018 de l'enfant (252 fr.) et de son épouse (66 fr.), représentent 1'362 fr. (1'680 fr. – 252 fr. – 66 fr.). Ces corrections apportées, les charges de l'intimé sont arrêtées à 2'480 fr.</w:t>
      </w:r>
    </w:p>
    <w:p>
      <w:r>
        <w:t>L'épouse de l'intimé se consacrant à la prise en charge de l'enfant du second lit en dehors de ses heures de travail, le premier juge a estimé avec raison qu'il pouvait être exigé de l'intimé qu'il prenne à sa charge les frais effectifs de celui-ci, soit 1'123 fr. après prise en compte de l'allocation familiale. Son solde disponible de 1'087 fr. (3'567 fr. – 2'480 fr.) étant insuffisant à leur couverture, la contribution de l'intimé à l'entretien de l'appelant ne peut ainsi excéder le montant de 200 fr. mensuellement qu'il propose à ce titre. La solution n'est pas différente si, comme le soutient l'appelant, 20% (et non 15%) des frais du logement commun devaient être intégrés dans les charges de l'enfant du second lit, l'intimé devant de toute manière supporter tant sa part que la part de l'enfant.</w:t>
      </w:r>
    </w:p>
    <w:p>
      <w:r>
        <w:t>Le principe de l'égalité de traitement entre les enfants n'est enfin pas mis à mal par la solution adoptée, compte tenu de la disparité des revenus (5'517 fr. pour l'intimé et son épouse, versus 5'917 fr. pour la mère de l'appelant et son époux); en application de l'art. 278 al. 2 CC, il peut en effet être exigé de l'époux de la mère de l'appelant, qui réalise un salaire mensuel net de 4'479 fr., qu'il prenne à sa charge le solde non couvert des charges effectives de l'appelant (611 fr. – 200 fr. ou 411 fr.), ce qui permet d'assurer aux deux enfants de l'intimé la couverture de leur minimum vital, étant précisé que la prime d'assurance maladie complémentaire LCA, qui excède le strict minimum vital, a été écartée à juste titre tant des charges de l'appelant que de celles de l'enfant du second lit. 4. Le jugement attaqué fixe le dies a quo à "mars 2018", mois au cours duquel l'intimé a formulé ses conclusions de première instance. L'appelant sollicite, quant à lui, que la condamnation prenne effet le 13 février 2018, date du dépôt de la requête.</w:t>
      </w:r>
    </w:p>
    <w:p>
      <w:r>
        <w:t>4.1 Aux termes de l'art. 279 al. 1 CC, la contribution d'entretien peut être réclamée pour l'avenir et pour l'année qui précède l'ouverture de l'action. Lorsque comme en l'espèce, aucun effet rétroactif n'est réclamé, la contribution prend effet au plus tôt au moment du dépôt de la requête ou à une date ultérieure, la fixation du dies a quo relevant toutefois de l'appréciation du juge (ATF 111 II 103 consid. 4; arrêts du Tribunal fédéral 5A_681/2014 du14 avril 2015, consid. 4.3; 5P_442/2006 du</w:t>
      </w:r>
    </w:p>
    <w:p>
      <w:r>
        <w:rPr>
          <w:b/>
        </w:rPr>
        <w:t>E. 8</w:t>
      </w:r>
    </w:p>
    <w:p>
      <w:r>
        <w:t>janvier 2007 consid. 3.2).</w:t>
      </w:r>
    </w:p>
    <w:p>
      <w:r>
        <w:t>4.2 En l'espèce, aucun élément ne conduit à déroger à la fixation du dies a quo au jour du dépôt de la requête. En particulier, l'intimé n'allègue ni ne justifie avoir participé à l'entretien de l'appelant avant "mars 2018". Le chiffre 1 du dispositif attaqué sera en conséquence modifié dans le sens que la contribution fixée est due dès le 13 février 2018.</w:t>
      </w:r>
    </w:p>
    <w:p>
      <w:r>
        <w:t>- 9/11 -</w:t>
      </w:r>
    </w:p>
    <w:p>
      <w:r>
        <w:t>C/3296/2018 5. La répartition des frais judiciaires et des dépens de première instance, conforme à l'art. 107 al. 1 let. c CPC, sera confirmée.</w:t>
      </w:r>
    </w:p>
    <w:p>
      <w:r>
        <w:t>Les frais judiciaires d'appel, arrêtés à 500 fr., seront mis à la charge de chaque partie par moitié, compte tenu de la nature familiale du litige (art. 107 al. 1 let. c CPC). Les deux parties plaidant au bénéfice de l'assistance juridique, ces frais seront provisoirement supportés par l'Etat de Genève (art. 122 al. 1 let. b CPC). Chaque partie supportera ses propres dépens d'appel. * * * * * *</w:t>
      </w:r>
    </w:p>
    <w:p>
      <w:r>
        <w:t>- 10/11 -</w:t>
      </w:r>
    </w:p>
    <w:p>
      <w:r>
        <w:t>C/3296/2018 PAR CES MOTIFS, La Chambre civile : A la forme : Déclare recevable l'appel interjeté le 28 mai 2018 par le mineur A______, représenté par sa mère B______, contre l'ordonnance OTPI/297/2018, rendue le 14 mai 2018 par le Tribunal de première instance dans la cause C/3296/2018-14. Au fond : Modifie le chiffre 1 du dispositif de cette ordonnance en ce sens que la contribution d'entretien fixée est due dès le 13 février 2018. Confirme l'ordonnance attaquée pour le surplus. Déboute les parties de toutes autres conclusions. Sur les frais : Fixe les frais judiciaires d'appel à 500 fr., les met à la charge de chaque partie par moitiés et dit qu'ils sont provisoirement supportés par l'Etat de Genève. Dit que chaque partie supportera ses propres dépens. Siégeant : Monsieur Ivo BUETTI, président; Madame Nathalie RAPP, juge; Madame Marguerite JACOT-DES-COMBES, juge suppléante; Madame Sandra MILLET, greffière.</w:t>
      </w:r>
    </w:p>
    <w:p>
      <w:r>
        <w:t>Le président : Ivo BUETTI</w:t>
      </w:r>
    </w:p>
    <w:p>
      <w:r>
        <w:t>La greffière : Sandra MILLET</w:t>
      </w:r>
    </w:p>
    <w:p>
      <w:r>
        <w:t>- 11/11 -</w:t>
      </w:r>
    </w:p>
    <w:p>
      <w:r>
        <w:t>C/3296/2018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 (310 fr. x 12 x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