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ACJC/152/2022 vom 7. Februar 2022</w:t>
      </w:r>
    </w:p>
    <w:p>
      <w:r>
        <w:t>GE Cour de justice, 2022-02-07, FR</w:t>
      </w:r>
    </w:p>
    <w:p>
      <w:r>
        <w:rPr>
          <w:b/>
        </w:rPr>
        <w:t xml:space="preserve">Quelle: </w:t>
      </w:r>
      <w:r>
        <w:t>https://mcp.opencaselaw.ch/entscheid/ge_gerichte_ACJC_152_2022</w:t>
      </w:r>
    </w:p>
    <w:p>
      <w:r>
        <w:t>FR: GE_GERICHTE ACJC/152/2022 du 7 février 2022</w:t>
      </w:r>
    </w:p>
    <w:p>
      <w:r>
        <w:t>IT: GE_GERICHTE ACJC/152/2022 del 7 febbraio 2022</w:t>
      </w:r>
    </w:p>
    <w:p>
      <w:pPr>
        <w:pStyle w:val="Heading2"/>
      </w:pPr>
      <w:r>
        <w:t>Erwägungen</w:t>
      </w:r>
    </w:p>
    <w:p>
      <w:r>
        <w:rPr>
          <w:b/>
        </w:rPr>
        <w:t>E. 4</w:t>
      </w:r>
    </w:p>
    <w:p>
      <w:r>
        <w:t>L'appelant conteste le jugement en tant qu'il fixe le montant de la contribution à l'entretien de C______ à 1'200 fr. par mois. Il ne critique pas le principe du versement d'une telle contribution d'entretien, ni son devoir de prendre en charge la totalité des frais de l'enfant, mais considère que la somme de 950 fr. est suffisante pour couvrir lesdites charges. 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- 9/16 -</w:t>
      </w:r>
    </w:p>
    <w:p>
      <w:r>
        <w:t>C/6790/2020 L'art. 285 al. 1 CC prévoit que la contribution d'entretien doit correspondre aux besoins de l'enfant ainsi qu'à la situation et aux ressources de ses père et mère; il est tenu compte de la fortune et des revenus de l'enfant. 4.1.2 Dans un arrêt récent, le Tribunal fédéral a arrêté, pour toute la Suisse, une méthode uniforme de fixation de l'entretien, soit la méthode du minimum vital avec répartition de l'excédent (dite en deux étapes) (ATF 147 III 265, partiellement traduit in SJ 2021 I 316).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Les ressources sont ensuite réparties entre les membres de la famille concernés de manière à couvrir le minimum vital du droit des poursuites (93 LP). Lorsque les moyens financiers le permettent, l'entretien convenable doit être étendu au minimum vital du droit de la famille. S'il reste un solde après couverture du minimum vital de droit de la famille des parents et enfants mineurs, il sera alloué à l'entretien de l'enfant majeur. Si, après cela, il subsiste encore un excédent, il sera réparti en équité entre les ayants droits (soit les parents et les enfants mineurs) (ATF 147 III 265 consid. 7.2 et 7.3).</w:t>
      </w:r>
    </w:p>
    <w:p>
      <w:r>
        <w:t>La répartition de l'excédent par "grandes et petites têtes", soit par adultes et enfants mineurs, s'impose comme nouvelle règle, en tenant compte à ce stade de toutes les particularités du cas d'espèce, notamment la répartition de la prise en charge de l'enfant, de même que les besoins particuliers. Cela étant, les circonstances du cas concret imposeront parfois au tribunal de s'écarter de cette clé de répartition, par exemple pour tenir de besoins particuliers. Notamment,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 ; cf également ATF 147 III 457 consid. 5.2). 4.1.3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être partagé entre les enfants dans le respect du principe de l'égalité de traitement, en tenant compte de leurs besoins et de la</w:t>
      </w:r>
    </w:p>
    <w:p>
      <w:r>
        <w:t>- 10/16 -</w:t>
      </w:r>
    </w:p>
    <w:p>
      <w:r>
        <w:t>C/6790/2020 capacité de gain de l'autre parent (ATF 137 III 59 consid. 4.2.1 et 4.2.2, in SJ 2011 I 221; 126 III 353 consid. 2b; arrêts du Tribunal fédéral 5A_679/2011 du 10 avril 2012 consid. 9; 5A_352/2010 du 29 octobre 2010 consid. 6.2.1). 4.1.4 Pour fixer la contribution d'entretien, le juge doit en principe tenir compte du revenu effectif des parties (ATF 137 III 118 consid. 2.3). Le juge peut imputer aux parties un revenu hypothétique supérieur. Il s'agit d'inciter la personne à réaliser le revenu qu'elle est en mesure de se procurer et que l'on peut raisonnablement exiger d'elle qu'elle obtienne afin de remplir ses obligations (ATF 143 III 233 consid. 3.2; 137 III 102 consid. 4.2.2.2, arrêt du Tribunal fédéral 5A_679/2019, 5A_681/2019 du 5 juillet 2021 consid. 14.2). Selon la jurisprudence, on est en principe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w:t>
      </w:r>
    </w:p>
    <w:p>
      <w:r>
        <w:t>4.1.5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Lorsque les ressources permettent de couvrir le minimum vital du droit des poursuites de tous les membres de la famille,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correspondant à la situation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- 11/16 -</w:t>
      </w:r>
    </w:p>
    <w:p>
      <w:r>
        <w:t>C/6790/2020</w:t>
      </w:r>
    </w:p>
    <w:p>
      <w:r>
        <w:t>Seules les charges effectives, dont le débirentier ou le crédirentier s'acquitte réellement doivent être prises en compte (ATF 140 III 337 consid. 4.2.3, arrêt du Tribunal fédéral 5A_405/2019 du 24 février 2020 consid. 5.2 et les références).</w:t>
      </w:r>
    </w:p>
    <w:p>
      <w:r>
        <w:t>4.1.6 Dans le cas de l’instauration d’une garde exclusive, le père ou la mère qui n’a pas la garde doit, en principe, assumer la totalité de l’entretien pécuniaire, sauf lorsque le parent exerçant la garde dispose de capacités financières manifestement plus importantes que l’autre parent (ATF 147 III 265 consid. 5.5 ; arrêt du Tribunal fédéral 5A_549/2019 du 18 mars 2021 consid. 3.4). Le minimum vital du droit des poursuites du parent débirentier doit dans tous les cas être préservé (ATF 147 III 265 consid. 7.4). 4.1.7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 Par "entrée en force partielle du jugement de divorce", il faut entendre le jour du dépôt de la réponse de la partie intimée, avec ou sans appel incident, lorsque le principe du divorce n'est pas remis en cause (ATF 142 III 193 consid. 5.3; 141 III 376 consid. 3.3.4 s.; 132 III 401 consid. 2.2; 130 III 297 consid. 3.3.2).</w:t>
      </w:r>
    </w:p>
    <w:p>
      <w:r>
        <w:t>4.2.1 En l'espèce, l'appelant reproche au Tribunal d'avoir constaté de manière inexacte que l'intimée se serait retrouvée au chômage à la suite de la démission induite par la séparation. Ce fait n'est toutefois pas pertinent dès lors qu'aucune des parties ne remet en cause le revenu de 6'200 fr. nets retenu par le Tribunal pour l'intimée correspondant à ses indemnités-chômages pour la recherche d'un emploi à plein temps. Cela étant, depuis le prononcé du jugement, l'intimée a retrouvé un emploi à 80% qui lui procure un revenu mensuel net moyen de 4'846 fr. (4'473 fr. x 13 / 12). A juste titre, l'appelant ne fait pas valoir que l'intimée devrait travailler à plein temps alors qu'elle a toujours travaillé à temps partiel, que ce revenu lui permet de subvenir seule à son entretien, tout en lui laissant un solde disponible, et que C______ fréquente encore l'école obligatoire.</w:t>
      </w:r>
    </w:p>
    <w:p>
      <w:r>
        <w:t>- 12/16 -</w:t>
      </w:r>
    </w:p>
    <w:p>
      <w:r>
        <w:t>C/6790/2020</w:t>
      </w:r>
    </w:p>
    <w:p>
      <w:r>
        <w:t>En revanche, c'est à juste titre que l'appelant critique le jugement s'agissant des charges retenues pour l'intimée. En effet, outre qu'il n'a pas été procédé à un calcul exact des charges de celle-ci, c'est à tort que le Tribunal a tenu compte du 80% de son ancien loyer de 3'530 fr. car, même en prenant en considération le minimum vital du droit de la famille, comme l'a retenu la Cour dans son arrêt du 16 juin 2020, ce loyer était excessif au regard de la composition familiale et de la situation financière de l'intimée. Ainsi, comme il l'a fait pour les charges de l'enfant, le Tribunal aurait dû prendre en compte uniquement le 80% d'un loyer de 1'765 fr. tel que retenu par la Cour dans son arrêt de juin 2020. Depuis le 1er septembre 2021, l'intimée occupe un nouveau logement de 5 pièces pour un loyer de 2'550 fr. par mois. Il s'agit à nouveau d'un loyer excessif au regard de la composition familiale et de la situation financière de l'intimée, de sorte que le montant arrêté par la Cour sera seul admis. Compte tenu de ce qui précède, les charges de l'intimée selon le minimum du droit de la famille s'élèvent à 3'778 fr., comprenant le 80% d'un loyer adapté pour deux personnes et compte tenu des revenus de l'intimée, soit le 80% de 1'765 fr. (1'412 fr.), les primes d'assurance- maladie de base (482 fr.) et complémentaires (89 fr.), les frais de transport, par égalité de traitement avec l'appelant (70 fr.), les acomptes d'impôts (375 fr., non contesté en appel) et son entretien de base selon les normes OP (1'350 fr.). Son solde mensuel était ainsi de 2'422 fr. (6'200 fr. - 3'778 fr.) jusqu'en juillet 2021 et est de 1'068 fr. (4'846 fr. - 3'778 fr.) depuis lors. 4.2.2 L'appelant ne conteste pas les charges de C______ telles qu'arrêtées par le premier juge selon le minimum vital du droit de la famille. L'effectivité de la nouvelle charge de soutien scolaire alléguée par l'intimée n'étant pas prouvée, il n'en sera pas tenu compte. En revanche, l'appelant fait valoir, à juste titre, que le Tribunal a omis de déduire le montant des allocations familiales perçu pour l'enfant qui s'élève à 382 fr. 50 par mois, de sorte que les charges mensuelles de l'enfant ne sont pas de 1'236 fr., telles que retenues par le premier juge, mais de 853 fr. 50 (1'236 fr. – 382 fr. 50). 4.2.3 L'appelant reproche enfin au Tribunal de ne pas avoir inclus dans ses charges les 2/3 des frais de son fils G______. C'est en tout état à tort que les charges de cet enfant ont été incluses dans le calcul du minimum vital selon le droit de la famille de l'appelant. En vertu de l'égalité de traitement entre les enfants de l'appelant, c'est au regard du solde de ce dernier qu'il convient de déterminer quel est le montant à affecter à l'entretien de chacun de ses enfants mineurs. Ainsi, le minimum vital de l'appelant selon le droit des poursuites s'élève à 3'648 fr., comprenant la moitié du loyer (1'345 fr.), la prime d'assurance-maladie (378 fr.), les frais de transports publics (75 fr., non contesté en appel), la charge fiscale (estimée à 1'000 fr., non contesté en appel) et son entretien de base selon les normes OP (850 fr.). Il n'y a pas lieu de tenir compte du remboursement de</w:t>
      </w:r>
    </w:p>
    <w:p>
      <w:r>
        <w:t>- 13/16 -</w:t>
      </w:r>
    </w:p>
    <w:p>
      <w:r>
        <w:t>C/6790/2020 l'emprunt de l'appelant auprès de K______ dont il n'a pas prouvé le remboursement régulier.</w:t>
      </w:r>
    </w:p>
    <w:p>
      <w:r>
        <w:rPr>
          <w:b/>
        </w:rPr>
        <w:t>E. 4.3</w:t>
      </w:r>
    </w:p>
    <w:p>
      <w:r>
        <w:t>Le solde mensuel de l'appelant, de 5'883 fr. (9'531 fr. – 3'648 fr.), lui permet ainsi de couvrir tant les charges de C______ (854 fr.), que la moitié de celles de G______ (1'062 fr.) puisqu'il n'est pas prouvé que la mère de l'enfant ne serait pas en mesure de participer à l'entretien de celui-ci pour moitié, et les contributions à ses deux enfants majeurs (2 x 950 fr.). En définitive, l'appelant bénéficiera encore d'un excédent de 2'067 fr. (5'883 fr. – 854 fr. – 1'062 fr. – 2 x 950 fr.) à répartir entre lui-même et ses deux enfants mineurs. C'est donc une somme de 516 fr. (¼ de 2'067 fr.) qui devrait encore revenir à C______ au titre de participation au bénéfice de son père, son entretien convenable étant fixé à 1'370 fr. (854 fr. + 516 fr.). Aussi, une contribution d'entretien fixée à 1'200 fr. par mois permettra à l'enfant de participer à l'excédent de son père dans les limites de la loi, étant précisé que cette participation, de 346 fr. (1'200 fr. – 854 fr.), lui permettra de couvrir ses frais de loisirs et de téléphone, ou encore de participer à ses frais de vacances et appui extrascolaires. Après paiement de cette contribution, l'appelant disposera encore d'un solde de 1'721 fr. (5'883 fr. – 1'200 fr. – 1'062 fr. – 2 x 950 fr.) et pourra ainsi faire bénéficier G______ de son train de vie et, par hypothèse, rembourser d'éventuelles dettes. Par conséquent, la contribution à l'entretien de C______ fixée à 1'200 fr. par mois dans le jugement attaqué ne sera pas revu. S'agissant du dies a quo, il ne peut être fixé à une date antérieure à l'entrée en force partielle du jugement de divorce, dès lors que la contribution à l'entretien de C______ a été arrêtée dans le cadre de mesures protectrices de l'union conjugale, sans être modifiées sur mesures provisionnelles. Compte tenu de la procédure d'appel, l'entrée en force partielle du jugement de divorce est intervenue le 21 octobre 2021, soit à la date du dépôt de la réponse de l'intimée, laquelle ne remet pas en cause le principe du divorce. Par mesure de simplification, la contribution d'entretien sera donc due à compter du 1er octobre 2021, étant précisé que celle fixée sur mesures protectrices de l'union conjugale demeure en vigueur jusqu'à cette date.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 Il n'y a pas lieu de faire figurer le montant de l'entretien convenable de l'enfant dans le dispositif du présent arrêt dès lors que les contributions fixées le couvrent entièrement (art. 129 al. 3 CC et 282 al. 1 let. c CPC).</w:t>
      </w:r>
    </w:p>
    <w:p>
      <w:r>
        <w:t>- 14/16 -</w:t>
      </w:r>
    </w:p>
    <w:p>
      <w:r>
        <w:t>C/6790/2020 Par conséquent, le versement de la contribution d'entretien ne sera pas limité aux 25 ans révolus de l'enfant. Par soucis de clarté, au vu de ce qui précède, le chiffre 4 du dispositif du jugement sera entièrement réformé.</w:t>
      </w:r>
    </w:p>
    <w:p>
      <w:r>
        <w:rPr>
          <w:b/>
        </w:rPr>
        <w:t>E. 5</w:t>
      </w:r>
    </w:p>
    <w:p>
      <w:r>
        <w:t>Le principe du partage par moitié des avoirs accumulés par les parties durant le mariage n'est pas remis en cause en appel. L'appelant reproche à juste titre au Tribunal d'avoir procédé à un calcul erroné des avoirs à transférer. En effet, ses avoirs accumulés pendant le mariage, au regard des pièces produites devant le premier juge, étaient de 264'147 fr. 90 (307'650 fr. 65 - 43'502 fr. 75) et ceux de l'intimée de 55'946 fr. 87, de sorte que c'est une somme de 104'100 fr. 45 (½ de 264'147 fr. 90 – ½ de 55'946 fr. 87) qui doit être transférée en faveur du compte de libre passage de l'intimée au débit de celui de l'appelant.</w:t>
      </w:r>
    </w:p>
    <w:p>
      <w:r>
        <w:t>Par conséquent, le chiffre 15 du dispositif du jugement sera modifié dans le sens de ce qui précède.</w:t>
      </w:r>
    </w:p>
    <w:p>
      <w:r>
        <w:rPr>
          <w:b/>
        </w:rPr>
        <w:t>E. 6.1</w:t>
      </w:r>
    </w:p>
    <w:p>
      <w:r>
        <w:t>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6.2</w:t>
      </w:r>
    </w:p>
    <w:p>
      <w:r>
        <w:t>Les frais judiciaires de la procédure d’appel sont fixés à 1'250 fr. (art. 30 et 35 RTFMC). Compte tenu de la nature familiale du litige, ils seront répartis à parts égales entre les parties, soit 625 fr. à charge de chacune (art. 107 al. 1 let. c CPC). Ils seront compensés avec l'avance de frais de 1'000 fr. fournie par l'appelant, qui reste acquise à l'Etat de Genève et l'intimée sera condamnée à verser à l'appelant la somme de 625 fr. (art. 111 al. 1 et 2 CPC). Compte tenu de la nature familiale du litige, chaque partie supportera ses propres dépens d'appel (art. 107 al. 1 let. c CPC). * * * * *</w:t>
      </w:r>
    </w:p>
    <w:p>
      <w:r>
        <w:t>- 15/16 -</w:t>
      </w:r>
    </w:p>
    <w:p>
      <w:r>
        <w:t>C/6790/2020 PAR CES MOTIFS, La Chambre civile : A la forme : Déclare recevable l'appel interjeté le 8 septembre 2021 par A______ contre les chiffres 4 et 15 du dispositif du jugement JTPI/8760/2021 rendu le 29 juin 2021 par le Tribunal de première instance dans la cause C/6790/2020. Au fond : Modifie le chiffre 4 du dispositif du jugement attaqué, en ce sens que A______ est condamné à verser à B______, à titre de contribution à l'entretien de l'enfant C______, par mois et d'avance, outre les allocations familiales ou d'études éventuellement versées, la somme de 1'200 fr. dès le 1er octobre 2021 et jusqu'à la majorité de l'enfant, voire au- delà, si l'enfant bénéficiaire poursuivait une formation professionnelle ou des études sérieuses et régulières, sous déduction des montants d'ores et déjà versés à ce titre. Modifie le chiffre 15 du dispositif du jugement attaqué, en ce sens qu'il est ordonné à la caisse de prévoyance de A______, soit la Caisse de pensions paritaire de I______ SA et de sociétés affiliées, rue 4______, assuré No 1______, matricule 2______, de prélever la somme de 104'100 fr. 45 du compte de libre passage de A______ et de la transférer sur le compte de libre passage de B______ auprès de la Fondation L______ de libre passage (2ème pilier), route ______, compte No 3______. Confirme le jugement querellé pour le surplus. Déboute les parties de toutes autres conclusions. Sur les frais : Arrête les frais judiciaires d'appel à 1'250 fr., dit qu'ils sont entièrement compensés avec l'avance fournie par A______ qui demeure acquise à l'Etat de Genève, et les met à la charge de chacune des parties pour moitié. Condamne B______ à verser 625 fr. à A______ à titre de remboursement des frais judiciaires d'appel.</w:t>
      </w:r>
    </w:p>
    <w:p>
      <w:r>
        <w:t>Dit que chaque partie supporte ses propres dépens d'appel. Siégeant :</w:t>
      </w:r>
    </w:p>
    <w:p>
      <w:r>
        <w:t>- 16/16 -</w:t>
      </w:r>
    </w:p>
    <w:p>
      <w:r>
        <w:t>C/6790/2020 Madame Nathalie RAPP, présidente;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