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ACJC/1523/2015 vom 18. August 2015</w:t>
      </w:r>
    </w:p>
    <w:p>
      <w:r>
        <w:t>GE Cour de justice, 2015-08-18, FR</w:t>
      </w:r>
    </w:p>
    <w:p>
      <w:r>
        <w:rPr>
          <w:b/>
        </w:rPr>
        <w:t xml:space="preserve">Quelle: </w:t>
      </w:r>
      <w:r>
        <w:t>https://mcp.opencaselaw.ch/entscheid/ge_gerichte_ACJC_1523_2015</w:t>
      </w:r>
    </w:p>
    <w:p>
      <w:r>
        <w:t>FR: GE_GERICHTE ACJC/1523/2015 du 18 août 2015</w:t>
      </w:r>
    </w:p>
    <w:p>
      <w:r>
        <w:t>IT: GE_GERICHTE ACJC/1523/2015 del 18 agosto 2015</w:t>
      </w:r>
    </w:p>
    <w:p>
      <w:pPr>
        <w:pStyle w:val="Heading2"/>
      </w:pPr>
      <w:r>
        <w:t>Erwägungen</w:t>
      </w:r>
    </w:p>
    <w:p>
      <w:r>
        <w:rPr>
          <w:b/>
        </w:rPr>
        <w:t>E. 1.1</w:t>
      </w:r>
    </w:p>
    <w:p>
      <w:r>
        <w:t>L'ordonnance querellée a été rendue sur mesures provisionnelles (art. 308 al. 1 let. b CPC), dans une affaire patrimoniale dont la valeur litigieuse est supérieure à 10'000 fr. (art. 308 al. 2 CPC). La voie de l'appel est dès lors ouverte.</w:t>
      </w:r>
    </w:p>
    <w:p>
      <w:r>
        <w:rPr>
          <w:b/>
        </w:rPr>
        <w:t>E. 1.2</w:t>
      </w:r>
    </w:p>
    <w:p>
      <w:r>
        <w:t>Le délai d'appel est de dix jours dès lors que la procédure sommaire est applicable s'agissant de la modification d'une mesure provisionnelle (art. 248</w:t>
      </w:r>
    </w:p>
    <w:p>
      <w:r>
        <w:t>- 7/14 -</w:t>
      </w:r>
    </w:p>
    <w:p>
      <w:r>
        <w:t>C/9652/2015 let. d, 268 et 314 al. 1 CPC). L'acte doit être écrit et motivé (art. 130, 131, 252 et 311 CPC). En l'espèce, l'appel a été déposé dans le délai et les formes prévus par la loi, de sorte qu'il est recevable.</w:t>
      </w:r>
    </w:p>
    <w:p>
      <w:r>
        <w:rPr>
          <w:b/>
        </w:rPr>
        <w:t>E. 1.3</w:t>
      </w:r>
    </w:p>
    <w:p>
      <w:r>
        <w:t>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w:t>
      </w:r>
    </w:p>
    <w:p>
      <w:r>
        <w:rPr>
          <w:b/>
        </w:rPr>
        <w:t>E. 2</w:t>
      </w:r>
    </w:p>
    <w:p>
      <w:r>
        <w:t>L'intimée conteste la recevabilité des pièces et conclusions nouvelles des appelants, portant sur la fourniture d'une garantie bancaire en vue de faire radier l'une des hypothèques légales provisoires litigieuses.</w:t>
      </w:r>
    </w:p>
    <w:p>
      <w:r>
        <w:rPr>
          <w:b/>
        </w:rPr>
        <w:t>E. 2.1</w:t>
      </w:r>
    </w:p>
    <w:p>
      <w:r>
        <w:t>Les faits et les moyens de preuve nouveaux sont admissibles en appel aux conditions de l'art. 317 CPC. La Cour examine, en principe, d'office la recevabilité des faits et des moyens de preuve nouveaux (REETZ/HILBER, Kommentar zur Schweizerischen Zivilprozessordnung [ZPO],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Des sûretés peuvent être déposées soit pendant le délai de recours contre l'inscription provisoire de l'hypothèque légale des artisans et entrepreneurs, soit à l'occasion du procès au fond, y compris en appel, ou auparavant, pendant le délai pour agir au fond. Dans ce cas, le propriétaire de l'immeuble grevé peut demander la radiation de l'inscription provisoire (BOHNET, L'hypothèque légale des artisans et entrepreneurs en procédure civile suisse, in : Le nouveau droit de l'hypothèque légale des artisans et entrepreneurs. Fond et procédure, 2012, p. 83, n. 100, p. 69 n. 58 et p. 79, n. 89).</w:t>
      </w:r>
    </w:p>
    <w:p>
      <w:r>
        <w:rPr>
          <w:b/>
        </w:rPr>
        <w:t>E. 2.2</w:t>
      </w:r>
    </w:p>
    <w:p>
      <w:r>
        <w:t>En l'espèce, les appelants ont produit deux pièces nouvelles, à savoir une garantie bancaire datée du 27 août 2015 (pièce 31) et un courrier du même jour de A______ et B______ à C______ (pièce 32). Ces pièces sont recevables, dans la mesure où elles sont postérieures à l'ordonnance querellée et concernent des sûretés, lesquelles peuvent être offertes en appel.</w:t>
      </w:r>
    </w:p>
    <w:p>
      <w:r>
        <w:t>- 8/14 -</w:t>
      </w:r>
    </w:p>
    <w:p>
      <w:r>
        <w:t>C/9652/2015 Les conclusions nouvelles des appelants relatives à la radiation de l'inscription provisoire d'une des deux hypothèques légales du fait de la fourniture de sûretés sont également recevables. Il en va de même des pièces nouvelles produites par l'intimée, à savoir des extraits de pages internet, postérieurs à l'ordonnance querellée, relatifs à la notation de E______ et à celle de l'Etat de Genève (pièces 29 à 31), déposés en réponse aux pièces nouvelles produites par les appelants.</w:t>
      </w:r>
    </w:p>
    <w:p>
      <w:r>
        <w:rPr>
          <w:b/>
        </w:rPr>
        <w:t>E. 3</w:t>
      </w:r>
    </w:p>
    <w:p>
      <w:r>
        <w:t>Les appelants font en premier lieu valoir que le Tribunal a violé leur droit d'être entendu en omettant de leur communiquer la réplique de l'intimée avant de rendre sa décision.</w:t>
      </w:r>
    </w:p>
    <w:p>
      <w:r>
        <w:rPr>
          <w:b/>
        </w:rPr>
        <w:t>E. 3.1</w:t>
      </w:r>
    </w:p>
    <w:p>
      <w:r>
        <w:t>Selon l'art. 53 al. 1 CPC, les parties ont le droit d'être entendues. Elles ont notamment le droit de consulter le dossier et de s'en faire délivrer copie, pour autant qu'aucun intérêt prépondérant public ou privé ne s'y oppose (art. 53 al. 2 CPC). Ce droit est également garanti par les articles 29 al. 2 Cst et 6 ch. 1 CEDH. La mise en œuvre du droit d'être entendu, qui comprend le droit de répliquer, suppose que l'écriture en cause ait été communiquée. Les parties à la procédure ont un droit à la communication des déterminations, que celles-ci contiennent ou non des éléments nouveaux ou importants. Le tribunal doit communiquer aux parties les déterminations reçues avant le prononcé de sa décision, afin que celles- ci puissent décider si elles veulent prendre position ou non à leur sujet (ATF 137 I 195 consid. 2, SJ 2011 I 345; arrêt 5A_535/2012 du 6 décembre 2012 consid. 2.3; arrêt du Tribunal fédéral 4A_29/2014 du 7 mai 2014 consid. 3).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3.2</w:t>
      </w:r>
    </w:p>
    <w:p>
      <w:r>
        <w:t>En l'espèce, le droit d'être entendu des appelants a été violé dans la mesure où la réplique déposée par l'intimée a été déclarée recevable par le Tribunal, mais ne leur a été communiquée qu'en même temps que la décision querellée.</w:t>
      </w:r>
    </w:p>
    <w:p>
      <w:r>
        <w:t>- 9/14 -</w:t>
      </w:r>
    </w:p>
    <w:p>
      <w:r>
        <w:t>C/9652/2015 Cette violation n'est cependant pas particulièrement grave et a pu être réparée devant la Cour puisque celle-ci dispose d'un pouvoir de cognition complet tant en fait qu'en droit. Il n'y a par conséquent pas lieu d'annuler l'ordonnance querellée pour ce seul motif.</w:t>
      </w:r>
    </w:p>
    <w:p>
      <w:r>
        <w:rPr>
          <w:b/>
        </w:rPr>
        <w:t>E. 4</w:t>
      </w:r>
    </w:p>
    <w:p>
      <w:r>
        <w:t>Les appelants font grief au Tribunal d'avoir considéré que le délai de quatre mois pour requérir l'inscription de l'hypothèque légale courait dès le 23 janvier 2015, date de la résiliation du contrat d'entreprise par leurs soins. Selon eux, les travaux étaient terminés à la date d'envoi des factures finales de l'intimée, à savoir le 20 octobre 2014 pour la Villa 1 et le 16 novembre 2014 pour la Villa 3.</w:t>
      </w:r>
    </w:p>
    <w:p>
      <w:r>
        <w:rPr>
          <w:b/>
        </w:rPr>
        <w:t>E. 4.1</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 Il y a achèvement des travaux quand tous les travaux qui constituent l'objet du contrat d'entreprise ont été exécutés et que l'ouvrage est livrable; ne sont des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encore des retouches (remplacement de parties livrées, mais défectueuses; correction de quelques autres défauts) ne constituent pas des travaux d'achèvement (ATF 102 II 206 consid. 1a et les références). Lorsque des travaux indispensables, même d'importance secondaire, n'ont pas été exécutés, l'ouvrage ne peut être tenu pour achevé; des travaux nécessaires, notamment pour des raisons de sécurité, même de peu d'importance, constituent donc des travaux d'achèvement; les travaux sont ainsi appréciés selon un point de vue qualitatif plutôt que quantitatif (ATF 125 III 113 consid. 2b et les arrêts cités). Le délai légal commence à courir dès l'achèvement des travaux, et non pas dès l'établissement de la facture, même si cet élément peut constituer un indice de la fin des travaux (ATF 101 II 253 p. 256); il s'ensuit que, lorsque des travaux</w:t>
      </w:r>
    </w:p>
    <w:p>
      <w:r>
        <w:t>- 10/14 -</w:t>
      </w:r>
    </w:p>
    <w:p>
      <w:r>
        <w:t>C/9652/2015 déterminants sont encore effectués après la facturation et ne constituent pas des travaux de réparation ou de réfection consécutifs à un défaut de l'ouvrage, ils doivent être pris en compte pour le dies a quo du délai (arrêt du Tribunal fédéral 5A_420/2014 du 27 novembre 2014 consid. 3.1).</w:t>
      </w:r>
    </w:p>
    <w:p>
      <w:r>
        <w:rPr>
          <w:b/>
        </w:rPr>
        <w:t>E. 4.2</w:t>
      </w:r>
    </w:p>
    <w:p>
      <w:r>
        <w:t>Selon l'art. 961 al. 3 CC, le juge statue - en procédure sommaire (art. 249 let. d ch. 5 CPC -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w:t>
      </w:r>
    </w:p>
    <w:p>
      <w:r>
        <w:rPr>
          <w:b/>
        </w:rPr>
        <w:t>E. 4.3</w:t>
      </w:r>
    </w:p>
    <w:p>
      <w:r>
        <w:t>En l'espèce, il convient de retenir, en application des principes juridiques précités, que l'envoi des factures finales de l'intimée ne constitue pas la date déterminante pour l'achèvement des travaux, même si ces factures peuvent constituer un indice de la fin des travaux, puisque seule est pertinente la date d'achèvement effectif de ceux-ci. L'on ne saurait en effet suivre les appelants lorsqu'ils soutiennent que les travaux sur les Villas 1 et 3 étaient achevés les 20 octobre et 16 novembre 2014 lors de l'établissement des factures finales par l'intimée. Cette allégation est en effet contredite par la position qu'ils ont adoptée au moment des faits puisque, à réception des factures de l'intimée, ils lui ont fait remarquer que les travaux n'étaient pas terminés. Par la suite, ils sont à plusieurs reprises intervenus auprès d'elle pour lui demander de terminer les travaux, soulignant qu'aucune des villas n'avait pu être réceptionnée. Le fait qu'ils aient pris la peine de résilier, le 23 janvier 2015, le contrat les liant à l'intimée, lui reprochant son incapacité à terminer les travaux, confirme qu'ils estimaient que ceux-ci n'étaient pas achevés. Il est vrai que la position de l'intimée est également contradictoire puisqu'elle soutient maintenant que les travaux qui restaient à faire au moment de la résiliation du 23 janvier 2015 étaient significatifs (remplacement de baie vitrée, pose des systèmes de fermeture et de l'étanchéité de la porte-fenêtre) alors qu'elle prétendait le contraire en décembre 2014, soutenant à l'époque qu'il s'agissait uniquement de travaux de garantie.</w:t>
      </w:r>
    </w:p>
    <w:p>
      <w:r>
        <w:t>- 11/14 -</w:t>
      </w:r>
    </w:p>
    <w:p>
      <w:r>
        <w:t>C/9652/2015 Il ressort de ce qui précède que, au vu des déclarations contradictoires des parties, la situation de fait nécessite des investigations supplémentaires pour trancher définitivement la question de la date effective d'achèvement des travaux. C'est ainsi à juste titre que le Tribunal a considéré que, même si elle n'était pas établie, l'existence du droit à l'inscription définitive du droit de gage ne paraissait ni exclue, ni hautement invraisemblable et que, même si un doute subsistait, il convenait d'ordonner l'inscription provisoire.</w:t>
      </w:r>
    </w:p>
    <w:p>
      <w:r>
        <w:rPr>
          <w:b/>
        </w:rPr>
        <w:t>E. 5</w:t>
      </w:r>
    </w:p>
    <w:p>
      <w:r>
        <w:t>Selon l'art. 334 al. 1 CPC, si le dispositif de la décision ne correspond pas à la motivation, le tribunal peut d'office rectifier la décision. L'al. 2 de cette disposition précise qu'en cas d'erreur d'écriture, le tribunal peut renoncer à demander aux parties de se déterminer.</w:t>
      </w:r>
    </w:p>
    <w:p>
      <w:r>
        <w:t>En l'espèce, l'ordonnance querellée est affectée d'une erreur d'écriture, dans la mesure où ses motifs mentionnent, à juste titre, que la requête porte sur l'inscription provisoire d'hypothèques légales sur les parcelles nos 1______ et 2______, plan n°______ de la Commune de ______, (GE), mais que son dispositif indique que les inscriptions provisoires doivent être effectuées sur les parcelles nos 11______ et 22______, plan n°______ de la Commune de ______, (GE).</w:t>
      </w:r>
    </w:p>
    <w:p>
      <w:r>
        <w:t>En application de l'art. 334 al. 1 CPC, cette erreur d'écriture sera rectifiée d'office.</w:t>
      </w:r>
    </w:p>
    <w:p>
      <w:r>
        <w:t>L'ordonnance de mesures superprovisionnelles mentionne quant à elle les numéros exacts des parcelles.</w:t>
      </w:r>
    </w:p>
    <w:p>
      <w:r>
        <w:rPr>
          <w:b/>
        </w:rPr>
        <w:t>E. 6</w:t>
      </w:r>
    </w:p>
    <w:p>
      <w:r>
        <w:t>Les appelants concluent à ce que l'hypothèque inscrite sur la parcelle n° 2______ soit radiée en échange de la fourniture d'une garantie bancaire émise par E______ le 2 août 2015. Les intimés font valoir que la garantie bancaire proposée ne constitue pas une sûreté suffisante.</w:t>
      </w:r>
    </w:p>
    <w:p>
      <w:r>
        <w:rPr>
          <w:b/>
        </w:rPr>
        <w:t>E. 6.1</w:t>
      </w:r>
    </w:p>
    <w:p>
      <w:r>
        <w:t>Selon l'art. 839 al. 3 CC, l'hypothèque légale des artisans et entrepreneurs ne peut être requise si le propriétaire fournit des sûretés suffisantes au créancier. Les sûretés peuvent consister en une garantie, un cautionnement ou une consignation d'espèces au tribunal ou en mains d'un tiers. En cas de sûretés personnelles, la personne du garant devra en principe être une banque ou une assurance de première catégorie avec siège en Suisse (BOHNET, op. cit., p. 67, n. 53 et 54).</w:t>
      </w:r>
    </w:p>
    <w:p>
      <w:r>
        <w:rPr>
          <w:b/>
        </w:rPr>
        <w:t>E. 6.2</w:t>
      </w:r>
    </w:p>
    <w:p>
      <w:r>
        <w:t>Les sûretés doivent donner la même couverture que l'hypothèque elle-même. Elles doivent donc couvrir la créance pour les travaux que l'entrepreneur fait valoir en capital, les frais de poursuite et les intérêts moratoires au sens de l'art. 818 al. 1 ch. 1 et 2 CC (BOHNET, op. cit., p. 67, n. 54).</w:t>
      </w:r>
    </w:p>
    <w:p>
      <w:r>
        <w:t>- 12/14 -</w:t>
      </w:r>
    </w:p>
    <w:p>
      <w:r>
        <w:t>C/9652/2015 Selon la jurisprudence du Tribunal fédéral, les sûretés doivent offrir, pour les intérêts moratoires une garantie qui n'est limitée ni dans le temps ni dans l'étendue (ATF 121 III 445, JT 1997 I 154 consid. 5a). La doctrine précise à cet égard que cette jurisprudence rend parfois l'octroi des sûretés difficile. Selon BOHNET, la couverture des intérêts est en tous cas suffisante si elle est offerte pour une durée équivalant à 1,5 fois la durée probable des procédures qui détermineront l'exigibilité de la garantie (BOHNET, op. cit., p. 67, note 108 et les références citées). Selon RAPLAN, on admet en pratique une durée de 3, 5 voire 7 ans en fonction de la durée probable des procédures (RAPLAN, L'hypothèque légale des artisans et entrepreneurs : mise en œuvre judiciaire, in JT 2010 II p. 57).</w:t>
      </w:r>
    </w:p>
    <w:p>
      <w:r>
        <w:rPr>
          <w:b/>
        </w:rPr>
        <w:t>E. 6.3</w:t>
      </w:r>
    </w:p>
    <w:p>
      <w:r>
        <w:t>En l'espèce, la garantie émane de E______, établissement qui, contrairement à ce que soutient l'intimée est bien un établissement de première catégorie ayant son siège en Suisse. Les intérêts, en 2'235 fr. 70 par an, sont garantis pour une durée supérieure à 13 ans (30'000 fr. : 2'235 fr. 70) ce qui est suffisant, à teneur des exigences de la doctrine, pour couvrir les intérêts à courir pendant la durée prévisible de la procédure au fond, ainsi que les frais accessoires. La garantie bancaire produite sous pièce 31 par les appelants constitue ainsi une sûreté suffisante au sens de l'art. 839 al. 3 CC en ce qui concerne la parcelle n° 2______. Le Conservateur du Registre foncier sera par conséquent invité à radier l'inscription provisoire de l'hypothèque légale grevant cette parcelle, sur présentation du justificatif de la remise à l'intimée de la garantie bancaire précitée.</w:t>
      </w:r>
    </w:p>
    <w:p>
      <w:r>
        <w:rPr>
          <w:b/>
        </w:rPr>
        <w:t>E. 7</w:t>
      </w:r>
    </w:p>
    <w:p>
      <w:r>
        <w:t>Les appelants succombent dans leurs conclusions principales. Ils ont gain de cause s'agissant de leur conclusion subsidiaire, mais seulement en raison du fait qu'ils ont produit une pièce nouvelle en appel. Il se justifie par conséquent de les condamner aux frais d'appel (art. 106 al. 1 CPC), les frais de première instance restant quant à eux inchangés. Les frais judiciaires d'appel seront arrêtés à 1'440 fr. (art. 26 et 37 RTFMC) et compensés avec l'avance du même montant versée par les appelants, laquelle restera acquise à l'Etat de Genève. Un montant de 1'800 fr., TVA et débours inclus, sera en outre alloué à l'intimée à titre de dépens (art. 84, 85, 88 et 90 RTFMC; art. 25 et 26 LaCC). * * * * *</w:t>
      </w:r>
    </w:p>
    <w:p>
      <w:r>
        <w:t>- 13/14 -</w:t>
      </w:r>
    </w:p>
    <w:p>
      <w:r>
        <w:t>C/9652/2015 PAR CES MOTIFS, La Chambre civile : A la forme : Déclare recevable l'appel interjeté par A______ et B______ contre l'ordonnance OTPI/487/2015 rendue le 18 août 2015 par le Tribunal de première instance dans la cause C/9652/2015-4 SP. Au fond : Rectifie les chiffres 2 et 3 du dispositif de cette ordonnance en ce sens que les inscriptions provisoires d'hypothèques légales des artisans et entrepreneurs portent sur les parcelles nos 1______ et 2______, plan no______ de la Commune de ______, (GE). Annule le chiffre 9 de cette ordonnance et, cela fait, statuant à nouveau : Donne acte à A______ et B______ de leur engagement de remettre à C______, à titre de sûretés, l'original de la garantie de paiement N° 4______ émise le 27 août 2015 par E______ pour un montant total de 74'714 fr. 50. Les y condamne en tant que de besoin. Ordonne au Conservateur du Registre foncier de procéder, au vu du justificatif de la remise de cette garantie, à la radiation de l'inscription provisoire au profit de C______ de l'hypothèque légale des artisans et entrepreneurs à concurrence de 44'714 fr. 50 plus intérêts à 5% dès le 28 novembre 2014, plus accessoires, sur la parcelle no 2______ plan no______ de la Commune de ______ (GE), copropriété de A______ et B______, inscrite en application du chiffre 2 de l'ordonnance de mesures superprovisionnelles du Tribunal du 19 mai 2015 et du chiffre 3 de l'ordonnance de mesures provisionnelles du 18 août 2015. Confirme pour le surplus l'ordonnance querellée. Sur les frais : Arrête à 1'440 fr. les frais judiciaires d'appel. Les met à charge de A______ et B______ et dit qu'ils sont compensés par l'avance versée par ces derniers, laquelle reste acquise à l'Etat de Genève. Condamne solidairement A______ et B______ à verser 1'800 fr. à C______ à titre de dépens d'appel. Siégeant : Monsieur Laurent RIEBEN, président; Madame Pauline ERARD et Madame Fabienne GEISINGER-MARIÉTHOZ, juges; Madame Céline FERREIRA, greffière.</w:t>
      </w:r>
    </w:p>
    <w:p>
      <w:r>
        <w:t>Le président : Laurent RIEBEN</w:t>
      </w:r>
    </w:p>
    <w:p>
      <w:r>
        <w:t>La greffière : Céline FERREIRA</w:t>
      </w:r>
    </w:p>
    <w:p>
      <w:r>
        <w:t>- 14/14 -</w:t>
      </w:r>
    </w:p>
    <w:p>
      <w:r>
        <w:t>C/9652/2015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