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ACJC/1519/2018 vom 27. November 2018</w:t>
      </w:r>
    </w:p>
    <w:p>
      <w:r>
        <w:t>GE Cour de justice, 2018-11-27, FR</w:t>
      </w:r>
    </w:p>
    <w:p>
      <w:r>
        <w:rPr>
          <w:b/>
        </w:rPr>
        <w:t xml:space="preserve">Quelle: </w:t>
      </w:r>
      <w:r>
        <w:t>https://mcp.opencaselaw.ch/entscheid/ge_gerichte_ACJC_1519_2018</w:t>
      </w:r>
    </w:p>
    <w:p>
      <w:r>
        <w:t>FR: GE_GERICHTE ACJC/1519/2018 du 27 novembre 2018</w:t>
      </w:r>
    </w:p>
    <w:p>
      <w:r>
        <w:t>IT: GE_GERICHTE ACJC/1519/2018 del 27 novembre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dont la valeur litigieuse, au dernier état des conclusions devant l'autorité inférieure, est supérieure à 10'000 fr. (art. 308 al. 2 CPC). Le litige portant en l'espèce sur le montant de l'entretien en faveur de l'épouse, il est de nature pécuniaire (ATF 133 III 393 consid. 2; arrêts du Tribunal fédéral 5A_42/2013 du 27 juin 2013 consid. 1.1; 5A_906/2012 du 18 avril 2013 consid. 1). En l'espèce, la capitalisation, conformément à l'art. 92 al. 2 CPC, du montant des contributions d'entretien restées litigieuses devant le premier juge excède 10'000 fr. (3'500 fr. x 12 x 20 = 840'000 fr.).</w:t>
      </w:r>
    </w:p>
    <w:p>
      <w:r>
        <w:t>- 5/12 -</w:t>
      </w:r>
    </w:p>
    <w:p>
      <w:r>
        <w:t>C/28092/2017 Interjeté dans le délai utile de dix jours (art. 271 let. a, 276 et 314 al. 1 CPC), suivant la forme prescrite par la loi (art. 130, 131, 311 al. 1 CPC), l'appel est recevable. Sont également recevables le mémoire de réponse de l'intimée ainsi que la réplique de l'appelant (art. 248 let. d, 312 al. 1 et 314 al. 1 CPC; ATF 138 I 154 consid. 2.3.3; 137 I 195 consid. 2.3.1 = SJ 2011 I 345).</w:t>
      </w:r>
    </w:p>
    <w:p>
      <w:r>
        <w:rPr>
          <w:b/>
        </w:rPr>
        <w:t>E. 1.2</w:t>
      </w:r>
    </w:p>
    <w:p>
      <w:r>
        <w:t>La Cour dispose d'un pouvoir d'examen complet (art. 310 CPC).</w:t>
      </w:r>
    </w:p>
    <w:p>
      <w:r>
        <w:rPr>
          <w:b/>
        </w:rPr>
        <w:t>E. 1.3</w:t>
      </w:r>
    </w:p>
    <w:p>
      <w:r>
        <w:t>Les mesures protectrices étant régies par la procédure sommaire selon l'art. 271 let. a CPC, sa cognition est cependant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du24 juillet 2013 consid. 2.1 et 5.1 et 5A_124/2008 du 10 avril 2008 consid. 4.2).</w:t>
      </w:r>
    </w:p>
    <w:p>
      <w:r>
        <w:rPr>
          <w:b/>
        </w:rPr>
        <w:t>E. 1.4</w:t>
      </w:r>
    </w:p>
    <w:p>
      <w:r>
        <w:t>La présente cause est soumise aux maximes de disposition (art. 58 al. 1 CPC; ATF 128 III 411 consid. 3.2.2; arrêt du Tribunal fédéral 5A_693/2007 du 18 février 2008 consid. 6) et inquisitoire (art. 272 CPC; ATF 129 III 417 consid. 2.1.2).</w:t>
      </w:r>
    </w:p>
    <w:p>
      <w:r>
        <w:rPr>
          <w:b/>
        </w:rPr>
        <w:t>E. 2</w:t>
      </w:r>
    </w:p>
    <w:p>
      <w:r>
        <w:t>L'appelant a produit de nouvelles pièces en appel.</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rPr>
          <w:b/>
        </w:rPr>
        <w:t>E. 2.2</w:t>
      </w:r>
    </w:p>
    <w:p>
      <w:r>
        <w:t>En l'espèce, les pièces ont été établies après que la cause ait été gardée à juger devant le premier juge, de sorte qu'elles sont recevables, ainsi que les faits s'y rapportant. Elles ne sont au demeurant pas déterminantes pour l'issue du litige.</w:t>
      </w:r>
    </w:p>
    <w:p>
      <w:r>
        <w:rPr>
          <w:b/>
        </w:rPr>
        <w:t>E. 3</w:t>
      </w:r>
    </w:p>
    <w:p>
      <w:r>
        <w:t>L'appelant conteste le principe même du versement d'une contribution d'entretien en faveur de son épouse. Il reproche également au Tribunal de ne pas avoir tenu compte de la totalité des arriérés d'impôts qu'il a réglée, et, s'agissant des charges de son épouse, d'avoir tenu compte de la totalité du loyer de l'appartement et du parking, des frais de transport, de l'assurance RC et du montant de base OP.</w:t>
      </w:r>
    </w:p>
    <w:p>
      <w:r>
        <w:rPr>
          <w:b/>
        </w:rPr>
        <w:t>E. 3.1</w:t>
      </w:r>
    </w:p>
    <w:p>
      <w:r>
        <w:t>En cas de suspension de la vie commune, la loi prévoit que le juge fixe les contributions d'entretien à verser respectivement aux enfants et à l'époux (art. 176 al. 1 ch. 1 CC).</w:t>
      </w:r>
    </w:p>
    <w:p>
      <w:r>
        <w:t>- 6/12 -</w:t>
      </w:r>
    </w:p>
    <w:p>
      <w:r>
        <w:t>C/28092/2017 Selon la jurisprudence, même lorsqu'on ne peut plus sérieusement compter sur la reprise de la vie commune, l'art. 163 CC demeure la cause de l'obligation d'entretien réciproque des époux pendant la durée des mesures protectrices.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arrêts 5A_904/2015 du 29 septembre 2016 consid. 5.1; 5A_651/2011 du 26 avril 2012 consid. 6.1.3.2 non publié in ATF 138 III 374). Si la situation financière des époux le permet encore, le standard de vie antérieure, choisit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3.2</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 Rechtliche Grundlagen und praktische Herausforderungen - heute und demnächst, in FamPra 2016, p. 4; STOUDMANN, Le nouveau droit de l'entretien de l'enfant en pratique, RMA 2016, p. 431).</w:t>
      </w:r>
    </w:p>
    <w:p>
      <w:r>
        <w:t>- 7/12 -</w:t>
      </w:r>
    </w:p>
    <w:p>
      <w:r>
        <w:t>C/28092/2017 L'une des méthodes pour calculer le montant de la contribution d'entretien est celle du minimum vital avec participation à l'excédent, qui consiste à prendre en considération le minimum vital du droit des poursuites auquel sont ajoutées les dépenses 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Le minimum vital du débirentier doit en principe être préservé (ATF 137 III 59 consid. 4.2). Est déduite de ce minimum vital la participation d'un adulte vivant avec lui. Dans ce cas, il convient de prendre en compte, dans le calcul de son minimum vital, que la moitié du montant de base prévu pour un couple (ATF 130 III 767 consid. 2.4).</w:t>
      </w:r>
    </w:p>
    <w:p>
      <w:r>
        <w:rPr>
          <w:b/>
        </w:rPr>
        <w:t>E. 3.3</w:t>
      </w:r>
    </w:p>
    <w:p>
      <w:r>
        <w:t>En l'espèce, le Tribunal a appliqué la méthode du minimum vital élargi avec répartition de l'excédent, laquelle n'est pas remise, en tant que telle, en cause par les parties. Il convient dès lors de déterminer les revenus et les charges des parties.</w:t>
      </w:r>
    </w:p>
    <w:p>
      <w:r>
        <w:t>- 8/12 -</w:t>
      </w:r>
    </w:p>
    <w:p>
      <w:r>
        <w:t>C/28092/2017</w:t>
      </w:r>
    </w:p>
    <w:p>
      <w:r>
        <w:rPr>
          <w:b/>
        </w:rPr>
        <w:t>E. 3.3.1</w:t>
      </w:r>
    </w:p>
    <w:p>
      <w:r>
        <w:t>L'appelant perçoit un revenu mensuel net, hors frais de représentation mais prime variable comprise, de 11'436 fr. 42, arrondis à 11'436 fr. Bien que l'appelant fasse état d'un salaire mensuel net pour janvier 2018 inférieur à ce montant, il correspond au salaire qu'il avait perçu au mois de février de l'année précédente, de sorte que la différence entre le salaire allégué par l'appelant (9'537 fr.) et celui retenu par le Tribunal s'explique par l'absence de part variable. Or, rien ne permet de remettre en cause, sous l'angle de la vraisemblance, le fait qu'il percevra ladite part variable cette année. Le salaire mensuel net de l'appelant s'élève ainsi à 11'436 fr.</w:t>
      </w:r>
    </w:p>
    <w:p>
      <w:r>
        <w:rPr>
          <w:b/>
        </w:rPr>
        <w:t>E. 3.3.2</w:t>
      </w:r>
    </w:p>
    <w:p>
      <w:r>
        <w:t>S'agissant de ses charges mensuelles, l'appelant remet uniquement en cause le montant de 1'500 fr. retenu par le Tribunal à titre de charge fiscale. L'appelant soutient qu'il convient de prendre en considération les arriérés d'impôts qu'il a réglés, en juin 2018, pour l'année fiscale 2016. Il ne s'agit toutefois pas d'une charge mensuelle fixe et la répartition du montant versé par l'appelant concernant les impôts de son épouse devra être réglée dans le cadre de la liquidation du régime matrimonial des époux ou de la liquidation de leurs rapports patrimoniaux. Il convient toutefois, comme l'a retenu à bon droit le premier juge, d'intégrer dans les charges de l'appelant des acomptes mensuels d'impôts. L'appelant a produit deux simulations fiscales. La dernière, corrigée pour tenir compte de la valeur du bien immobilier et des intérêts hypothécaires y afférant, ne prend toutefois pas en compte la contribution à l'entretien de son épouse. En tenant compte d'un montant de 1'900 fr. (cf. ci-dessous), le montant total de l'impôt dû pour l'année 2018 est de 22'027 fr. 80, soit 1'836 fr. par mois (19'371 fr. 60 d'impôts cantonaux et 2'656 fr. 20 d'impôt fédéral direct), selon la calculette en ligne disponible sur le site de l'Administration fiscale genevoise (https://ge.ch/afcaelp1dmapublic/2018/). Ainsi, les charges mensuelles de l'appelant sont de 6'192 fr. par mois arrondis (1'333 fr. 30 d'intérêts hypothécaires, 536 fr. 45 d'assurance-maladie, 308 fr. 35 de frais liés à son domicile (SIG et alarme), 978 fr. 30 de remboursement de prêt personnel, 1'836 fr. d'impôts et 1'200 fr. de montant de base OP).</w:t>
      </w:r>
    </w:p>
    <w:p>
      <w:r>
        <w:rPr>
          <w:b/>
        </w:rPr>
        <w:t>E. 3.3.3</w:t>
      </w:r>
    </w:p>
    <w:p>
      <w:r>
        <w:t>L'intimée réalise un revenu mensuel net de 6'790 fr.</w:t>
      </w:r>
    </w:p>
    <w:p>
      <w:r>
        <w:rPr>
          <w:b/>
        </w:rPr>
        <w:t>E. 3.3.4</w:t>
      </w:r>
    </w:p>
    <w:p>
      <w:r>
        <w:t>Ses charges se composent de 70% du loyer de 2'475 fr. (ses deux enfants devant participer à 30% de celui-ci), soit 1'732 fr. 50, du loyer du parking 150 fr., de sa prime d'assurance-maladie de 460 fr. 45, de ses frais de transport de 70 fr., de l'assurance RC de 36 fr. 45, de ses impôts de 1'997 fr. et de 850 fr. de montant de base OP, soit 5'295 fr. 90, arrondis à 5'296 fr.</w:t>
      </w:r>
    </w:p>
    <w:p>
      <w:r>
        <w:t>- 9/12 -</w:t>
      </w:r>
    </w:p>
    <w:p>
      <w:r>
        <w:t>C/28092/2017 Dès lors que l'intimée occupe son appartement avec ses deux enfants majeurs, il se justifie que ces derniers supportent 30% du loyer. Contrairement à ce que soutient l'appelant, et dès lors que l'intimée exerce une activité lucrative à plein temps, et qu'elle doit se rendre à son travail, les frais d'abonnement TPG doivent être inclus dans ses charges. Avec raison, l'appelant a critiqué le montant de base de 1'350 fr. retenu par le Tribunal. Sur ce point, la Cour retient, compte tenu de la communauté de vie de l'intimée avec ses deux enfants, qu'il se justifie de prendre en compte la moitié du montant de base OP d'un couple marié (1'700 fr.). Enfin, l'assurance RC sera prise en considération compte tenu de la situation financière favorable des parties. Concernant les impôts, ceux-ci seront estimés à 1'997 fr. arrondis par mois, selon la calculette en ligne de l'administration fiscale (20'922 fr. 20 d'impôts cantonaux et 3'039 fr. d'IFD, en prenant en considération 22'800 fr. de revenus supplémentaires correspondant au montant de la contribution d'entretien). Le budget de l'intimée présente ainsi un solde de 1'494 fr.</w:t>
      </w:r>
    </w:p>
    <w:p>
      <w:r>
        <w:rPr>
          <w:b/>
        </w:rPr>
        <w:t>E. 3.3.5</w:t>
      </w:r>
    </w:p>
    <w:p>
      <w:r>
        <w:t>La prime d'assurance-maladie de F______ est de 453 fr. 60 par mois et sa participation au loyer s'élève à 371 fr. 25. Il ne perçoit pas de revenu. Quant à G______, sa prime d'assurance-maladie s'élève à 435 fr. 90 mensuelle- ment et sa participation au loyer à 371 fr. 25. Il perçoit 489 fr. d'allocations d'études. L'intimée est à même de couvrir les charges de ses deux enfants majeurs avec son excédent de 1'494 fr.</w:t>
      </w:r>
    </w:p>
    <w:p>
      <w:r>
        <w:rPr>
          <w:b/>
        </w:rPr>
        <w:t>E. 3.3.6</w:t>
      </w:r>
    </w:p>
    <w:p>
      <w:r>
        <w:t>En définitive, les revenus des époux s'élèvent à 18'226 fr. et leurs charges à 11'488 fr., de sorte que le solde disponible est de 6'738 fr. par mois. L'intimée a ainsi droit à la moitié de ce montant, soit 3'369 fr. Dans la mesure où son budget est d'ores et déjà bénéficiaire de 1'494 fr., l'appelant sera condamné à lui verser la somme de 1'900 fr. par mois (1'875 fr. arrondis).</w:t>
      </w:r>
    </w:p>
    <w:p>
      <w:r>
        <w:rPr>
          <w:b/>
        </w:rPr>
        <w:t>E. 3.4</w:t>
      </w:r>
    </w:p>
    <w:p>
      <w:r>
        <w:t>L'appel se révèle ainsi partiellement fondé, de sorte que le chiffre 3 du dispositif du jugement entrepris sera annulé et réformé dans le sens qui précède.</w:t>
      </w:r>
    </w:p>
    <w:p>
      <w:r>
        <w:rPr>
          <w:b/>
        </w:rPr>
        <w:t>E. 3.5</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w:t>
      </w:r>
    </w:p>
    <w:p>
      <w:r>
        <w:t>- 10/12 -</w:t>
      </w:r>
    </w:p>
    <w:p>
      <w:r>
        <w:t>C/28092/2017 L'effet rétroactif ne se justifie que si l'entretien dû n'a pas été assumé en nature ou en espèces ou dès qu'il a cessé de l'être (arrêts du Tribunal fédéral 5A_371/2015 du 29 septembre 2015 consid. 3.1 et 5A_591/2011 du 7 décembre 2011 consid. 5.2).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 Le jugement ne comprend pas de dies a quo de la contribution d'entretien. L'appel ne comporte pas de critiques spécifiques à cet égard. Toutefois, et afin d'éviter toute ambiguïté à cet égard, et dans la mesure où l'intimée dispose de revenus lui permettant de couvrir l'intégralité de ses charges mensuelles, il sera fixé dès l'entrée en force du présent arrêt.</w:t>
      </w:r>
    </w:p>
    <w:p>
      <w:r>
        <w:rPr>
          <w:b/>
        </w:rPr>
        <w:t>E. 4.1</w:t>
      </w:r>
    </w:p>
    <w:p>
      <w:r>
        <w:t>Si l'instance d'appel statue à nouveau, elle se prononce sur les frais de la première instance (art. 318 al. 3 CPC).</w:t>
      </w:r>
    </w:p>
    <w:p>
      <w:r>
        <w:rPr>
          <w:b/>
        </w:rPr>
        <w:t>E. 4.2</w:t>
      </w:r>
    </w:p>
    <w:p>
      <w:r>
        <w:t>Les frais de première instance ne sont pas remis en cause par les parties et, étant conformes aux dispositions applicables, ils seront confirmés.</w:t>
      </w:r>
    </w:p>
    <w:p>
      <w:r>
        <w:rPr>
          <w:b/>
        </w:rPr>
        <w:t>E. 4.3</w:t>
      </w:r>
    </w:p>
    <w:p>
      <w:r>
        <w:t>Les frais judiciaires de la procédure d'appel seront arrêtés à 1'200 fr., y compris la décision sur effet suspensif (art. 30 al. 1 et 35 RTFMC) et seront mis à la charge des parties pour moitié chacune (art. 104 al. 1, 105, 106 et 107 al. 1 let. c CPC), partiellement compensés avec l'avance de frais de 1'000 fr. versée par l'appelant, acquise à l'Etat de Genève (art. 111 al. 1 CPC). L'intimée sera dès lors condamnée à verser 400 fr. à l'appelant à ce titre et 200 fr. aux Services financiers du Pouvoir judiciaire (art. 111 al. 2 CPC).</w:t>
      </w:r>
    </w:p>
    <w:p>
      <w:r>
        <w:rPr>
          <w:b/>
        </w:rPr>
        <w:t>E. 4.4</w:t>
      </w:r>
    </w:p>
    <w:p>
      <w:r>
        <w:t>Compte tenu de la nature familiale du litige, il ne sera pas alloué de dépens d'appel (art. 95 al. 3, 105 al. 2 et 107 al. 1 let. c CPC).</w:t>
      </w:r>
    </w:p>
    <w:p>
      <w:r>
        <w:rPr>
          <w:b/>
        </w:rPr>
        <w:t>E. 5</w:t>
      </w:r>
    </w:p>
    <w:p>
      <w:r>
        <w:t>L'arrêt de la Cour, statuant sur mesures protectrices de l'union conjugale, est susceptible d'un recours en matière civile, les moyens de recours étant toutefois limités selon l'art. 98 LTF. * * * * *</w:t>
      </w:r>
    </w:p>
    <w:p>
      <w:r>
        <w:t>- 11/12 -</w:t>
      </w:r>
    </w:p>
    <w:p>
      <w:r>
        <w:t>C/28092/2017 PAR CES MOTIFS, La Chambre civile : A la forme : Déclare recevable l'appel interjeté le 28 juin 2018 contre le chiffre 3 du dispositif du jugement JTPI/9404/2018 rendu le 13 juin 2018 par le Tribunal de première instance dans la cause C/28092/2017-19. Au fond : Annule ledit chiffre 3. Cela fait, et statuant à nouveau sur ce point : Condamne A______ à verser, par mois et d'avance, en mains de B______, la somme de 1'900 fr. à titre de contribution à son entretien, dès l'entrée en force du présent arrêt. Déboute les parties de toutes autres conclusions. Sur les frais : Arrête les frais judiciaires d'appel à 1'200 fr., les compense partiellement avec l'avance de frais fournie, acquise à l'Etat de Genève, et les met à la charge de A______ et de B______, à raison d'une moitié chacun. Condamne en conséquence B______ à verser 400 fr. à A______ à ce titre. Condamne B______ à verser 200 fr. à l'Etat de Genève, soit pour lui les Services financiers du Pouvoir judiciaire. Dit que chaque partie supporte ses propres dépens. Siégeant : Madame Jocelyne DEVILLE-CHAVANNE, présidente; Mesdames Nathalie LANDRY-BARTHE et Eleanor McGREGOR, juges; Madame Jessica ATHMOUNI, greffière. La présidente : Jocelyne DEVILLE-CHAVANNE</w:t>
      </w:r>
    </w:p>
    <w:p>
      <w:r>
        <w:t>La greffière : Jessica ATHMOUNI</w:t>
      </w:r>
    </w:p>
    <w:p>
      <w:r>
        <w:t>- 12/12 -</w:t>
      </w:r>
    </w:p>
    <w:p>
      <w:r>
        <w:t>C/28092/2017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