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ACJC/1515/2024 vom 29. November 2024</w:t>
      </w:r>
    </w:p>
    <w:p>
      <w:r>
        <w:t>GE Cour de justice, 2024-11-29, FR</w:t>
      </w:r>
    </w:p>
    <w:p>
      <w:r>
        <w:rPr>
          <w:b/>
        </w:rPr>
        <w:t xml:space="preserve">Quelle: </w:t>
      </w:r>
      <w:r>
        <w:t>https://mcp.opencaselaw.ch/entscheid/ge_gerichte_ACJC_1515_2024</w:t>
      </w:r>
    </w:p>
    <w:p>
      <w:r>
        <w:t>FR: GE_GERICHTE ACJC/1515/2024 du 29 novembre 2024</w:t>
      </w:r>
    </w:p>
    <w:p>
      <w:r>
        <w:t>IT: GE_GERICHTE ACJC/1515/2024 del 29 novembre 2024</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w:t>
      </w:r>
    </w:p>
    <w:p>
      <w:r>
        <w:rPr>
          <w:b/>
        </w:rPr>
        <w:t>E. 1.2</w:t>
      </w:r>
    </w:p>
    <w:p>
      <w:r>
        <w:t>En l'occurrence, le Tribunal fédéral a statué sur le fond et renvoyé la cause à la Cour uniquement pour qu'elle se prononce sur le sort des frais judiciaires et des dépens de la procédure cantonale.</w:t>
      </w:r>
    </w:p>
    <w:p>
      <w:r>
        <w:rPr>
          <w:b/>
        </w:rPr>
        <w:t>E. 2.1</w:t>
      </w:r>
    </w:p>
    <w:p>
      <w:r>
        <w:t>Les frais, qui comprennent les frais judiciaires et les dépens (art. 95 al. 1 CPC), sont mis à la charge de la partie succombante (art. 106 al. 1 CPC). Les cantons en fixent le tarif (art. 95 al. 1 CPC).</w:t>
      </w:r>
    </w:p>
    <w:p>
      <w:r>
        <w:rPr>
          <w:b/>
        </w:rPr>
        <w:t>E. 2.1.1</w:t>
      </w:r>
    </w:p>
    <w:p>
      <w:r>
        <w:t>Les frais judiciaires sont compensés avec les avances fournies par les parties. La partie à qui incombe la charge des frais restitue à l'autre partie les avances que celle-ci a fournies et lui verse les dépens qui lui ont été alloués (art. 111 al. 1 et 2 CPC).</w:t>
      </w:r>
    </w:p>
    <w:p>
      <w:r>
        <w:rPr>
          <w:b/>
        </w:rPr>
        <w:t>E. 2.1.2</w:t>
      </w:r>
    </w:p>
    <w:p>
      <w:r>
        <w:t>Les dépens comprennent notamment les débours nécessaires et le défraiement d'un représentant professionnel (art. 95 al. 3 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quant à lui que</w:t>
      </w:r>
    </w:p>
    <w:p>
      <w:r>
        <w:t>- 4/6 -</w:t>
      </w:r>
    </w:p>
    <w:p>
      <w:r>
        <w:t>C/7218/2020 pour les affaires pécuniaires, le défraiement prend pour base le tarif prévu; sans préjudice de l'art. 23 LaCC, il peut s'en écarter plus ou moins de 10% pour tenir compte des éléments rappelés à l'art. 84 RTFMC. Dans les procédures d'appel et de recours, ce défraiement est réduit dans la règle d'un à deux tiers par rapport au tarif de l'art. 85 RTFMC (art. 90 RTFMC). A teneur de l'art. 23 LaCC,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w:t>
      </w:r>
    </w:p>
    <w:p>
      <w:r>
        <w:rPr>
          <w:b/>
        </w:rPr>
        <w:t>E. 2.1.3</w:t>
      </w:r>
    </w:p>
    <w:p>
      <w:r>
        <w:t>Selon la jurisprudence, la valeur litigieuse d'une action en annulation d'une décision de l'assemblée générale d'une société anonyme, se détermine, sauf exception, selon la valeur du capital-actions de la société (arrêt du Tribunal fédéral 4C_47/2006 du 30 mai 2006 consid. 1.2).</w:t>
      </w:r>
    </w:p>
    <w:p>
      <w:r>
        <w:rPr>
          <w:b/>
        </w:rPr>
        <w:t>E. 2.2</w:t>
      </w:r>
    </w:p>
    <w:p>
      <w:r>
        <w:t>En l'espèce, à l'issue de la procédure de recours devant le Tribunal fédéral, la nullité des décisions prises lors de l'assemblée générale du 24 janvier 2020 a été constatée, de sorte que B______ SARL a obtenu intégralement gain de cause dans la présente affaire. Il n'est pas nécessaire d'analyser la portée à accorder à l'arrêt du Tribunal fédéral pour la répartition des frais, contrairement à ce que fait valoir A______ SA. En effet, le fait que les motifs ayant conduit à l'annulation des décisions de l'assemblée générale contestées dans la présente cause ne puissent, par hypothèse, pas entraîner l'annulation de décisions ultérieures de la même assemblée, n'enlève rien au constat que A______ SA succombe dans le présent procès et doit par conséquent en supporter les frais, conformément aux dispositions et principes rappelés ci-dessus.</w:t>
      </w:r>
    </w:p>
    <w:p>
      <w:r>
        <w:rPr>
          <w:b/>
        </w:rPr>
        <w:t>E. 2.2.1</w:t>
      </w:r>
    </w:p>
    <w:p>
      <w:r>
        <w:t>En l'occurrence, les frais judiciaires ont été précédemment arrêtés par la Cour à 4'000 fr. pour chacune des instances, sans que leur quotité fasse l'objet d'une contestation. Il n’y a pas lieu de modifier ces montants (art. 95 al. 2 et 105 al. 1 CPC; art. 5, 7, 17 et 35 RTFMC).</w:t>
      </w:r>
    </w:p>
    <w:p>
      <w:r>
        <w:t>Ainsi, les frais judiciaires des deux instances, arrêtés à 8'000 fr. (4'000 fr. + 4'000 fr.), seront mis à la charge de A______ SA et compensés avec les avances versées par les parties, qui demeurent acquises à l'Etat de Genève (art. 111 al. 1 CPC). A______ SA a versé 1'200 fr. d'avance en première instance et 1'000 fr. d'avance en appel, tandis que B______ SARL a versé 2'000 fr. d'avance pour la première instance. Par conséquent, la première sera condamnée à verser 2'000 fr. à la seconde à titre de remboursement des frais judiciaires et 3'800 fr. (800 fr. + 3'000 fr.) à l'Etat de Genève, à titre de solde des frais judiciaires.</w:t>
      </w:r>
    </w:p>
    <w:p>
      <w:r>
        <w:rPr>
          <w:b/>
        </w:rPr>
        <w:t>E. 2.2.2</w:t>
      </w:r>
    </w:p>
    <w:p>
      <w:r>
        <w:t>Il n’y a pas non plus lieu de modifier la quotité des dépens précédemment fixés par la Cour à hauteur de 10'000 fr. en première instance et 6'000 fr. en appel, lesquels tiennent compte des difficultés de la cause, de l'ampleur du travail effectué</w:t>
      </w:r>
    </w:p>
    <w:p>
      <w:r>
        <w:t>- 5/6 -</w:t>
      </w:r>
    </w:p>
    <w:p>
      <w:r>
        <w:t>C/7218/2020 par les conseils des parties ainsi que de la valeur litigieuse. Cette dernière, calculée sur la valeur du capital-actions de 200'000 fr., ne peut pas être seule prise en compte, contrairement à ce que soutient l'intimée. En effet, l'indemnisation tarifaire qui en résulterait en vertu des art. 85 et suivants RTFMC, de l'ordre de 16'000 fr. pour la première instance et de 11'000 fr. pour la seconde, reviendrait à une indemnisation excessive, car disproportionnée eu égard à l'activité nécessaire et effective déployée par le mandataire de l'intimée en lien avec l'objet de la présente cause. Par ailleurs, aucun élément ne justifie d'accorder un montant plus important de dépens à la partie intimée que celui qui était prévu dans l'arrêt précédent de la Cour pour la partie appelante. En effet, le conseil de B______ SARL n'a pas, au regard de la procédure, déployé une activité significativement plus importante que celle de sa partie adverse. A______ SA sera dès lors condamnée à verser à B______ SARL 16'000 fr., débours et TVA inclus, à titre de dépens pour la procédure cantonale (soit 10'000 fr. pour la première instance et 6'000 fr. pour la seconde instance).</w:t>
      </w:r>
    </w:p>
    <w:p>
      <w:r>
        <w:rPr>
          <w:b/>
        </w:rPr>
        <w:t>E. 2.3</w:t>
      </w:r>
    </w:p>
    <w:p>
      <w:r>
        <w:t>Il sera en outre renoncé à percevoir un émolument de décision dans le cadre de la présente procédure de renvoi, rendue nécessaire à la suite de l'arrêt du Tribunal fédéral. * * * * *</w:t>
      </w:r>
    </w:p>
    <w:p>
      <w:r>
        <w:t>- 6/6 -</w:t>
      </w:r>
    </w:p>
    <w:p>
      <w:r>
        <w:t>C/7218/2020</w:t>
      </w:r>
    </w:p>
    <w:p>
      <w:r>
        <w:t>PAR CES MOTIFS, La Chambre civile :</w:t>
      </w:r>
    </w:p>
    <w:p>
      <w:r>
        <w:t>Statuant sur renvoi du Tribunal fédéral sur les frais et dépens :</w:t>
      </w:r>
    </w:p>
    <w:p>
      <w:r>
        <w:t>Met à la charge de A______ SA les frais judiciaires de première et de seconde instance, arrêtés à 8'000 fr., et les compense partiellement avec les avances versées par les parties, acquises à l'Etat de Genève. Condamne en conséquence A______ SA à verser à B______ SARL 2'000 fr. à titre de remboursement des frais judiciaires. Condamne A______ SA à verser 3'800 fr. à l'Etat de Genève, soit pour lui les Services financiers du Pouvoir judiciaire, à titre de solde des frais judiciaires. Condamne A______ SA à verser à B______ SARL 16'000 fr. à titre de dépens de première et de seconde instance. Siégeant : Monsieur Laurent RIEBEN, président; Madame Fabienne GEISINGER-MARIETHOZ, Madame Ursula ZEHETBAUER GHAVAMI,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