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ACJC/1514/2020 vom 13. November 2020</w:t>
      </w:r>
    </w:p>
    <w:p>
      <w:r>
        <w:t>GE Cour de justice, 2020-11-13, FR</w:t>
      </w:r>
    </w:p>
    <w:p>
      <w:r>
        <w:rPr>
          <w:b/>
        </w:rPr>
        <w:t xml:space="preserve">Quelle: </w:t>
      </w:r>
      <w:r>
        <w:t>https://mcp.opencaselaw.ch/entscheid/ge_gerichte_ACJC_1514_2020</w:t>
      </w:r>
    </w:p>
    <w:p>
      <w:r>
        <w:t>FR: GE_GERICHTE ACJC/1514/2020 du 13 novembre 2020</w:t>
      </w:r>
    </w:p>
    <w:p>
      <w:r>
        <w:t>IT: GE_GERICHTE ACJC/1514/2020 del 13 novembre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1 et 2 CPC, sont supérieurs à 10'000 fr., de sorte que la voie de l'appel est ouverte.</w:t>
      </w:r>
    </w:p>
    <w:p>
      <w:r>
        <w:rPr>
          <w:b/>
        </w:rPr>
        <w:t>E. 1.2</w:t>
      </w:r>
    </w:p>
    <w:p>
      <w:r>
        <w:t>Formé dans le délai et selon la forme prescrits par la loi (art. 130, 131, 142, 145 al. 1 let. a et 311 al. 1 CPC), l'appel est recevable.</w:t>
      </w:r>
    </w:p>
    <w:p>
      <w:r>
        <w:rPr>
          <w:b/>
        </w:rPr>
        <w:t>E. 1.3</w:t>
      </w:r>
    </w:p>
    <w:p>
      <w:r>
        <w:t>La Cour revoit la cause en fait et en droit avec un plein pouvoir d'examen (art. 310 CPC).</w:t>
      </w:r>
    </w:p>
    <w:p>
      <w:r>
        <w:rPr>
          <w:b/>
        </w:rPr>
        <w:t>E. 1.4</w:t>
      </w:r>
    </w:p>
    <w:p>
      <w:r>
        <w:t>Lorsque le litige porte sur la contribution d'entretien d'un enfant mineur lors de l'introduction de la procédure,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w:t>
      </w:r>
    </w:p>
    <w:p>
      <w:r>
        <w:rPr>
          <w:b/>
        </w:rPr>
        <w:t>E. 2</w:t>
      </w:r>
    </w:p>
    <w:p>
      <w:r>
        <w:t>L'appelante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 en appel même si les conditions de l'art. 317 al. 1 CPC ne sont pas réunies (ATF 144 III 349 consid. 4.2.1).</w:t>
      </w:r>
    </w:p>
    <w:p>
      <w:r>
        <w:rPr>
          <w:b/>
        </w:rPr>
        <w:t>E. 2.2</w:t>
      </w:r>
    </w:p>
    <w:p>
      <w:r>
        <w:t>En l'espèce, la procédure concerne notamment la contribution due par un parent à l'entretien d'enfants mineures, de sorte que toutes les allégations et les pièces nouvelles de l'appelante, ainsi que les éléments de fait qu'elles contiennent, seront déclarés recevables. Dans la mesure où elle a produit des pièces concernant les charges des enfants à l'appui de sa réplique, les conclusions de l'appelante tendant à ce qu'un délai lui soit imparti pour ce faire sont sans objet.</w:t>
      </w:r>
    </w:p>
    <w:p>
      <w:r>
        <w:t>- 7/11 -</w:t>
      </w:r>
    </w:p>
    <w:p>
      <w:r>
        <w:t>C/24104/2018</w:t>
      </w:r>
    </w:p>
    <w:p>
      <w:r>
        <w:rPr>
          <w:b/>
        </w:rPr>
        <w:t>E. 3</w:t>
      </w:r>
    </w:p>
    <w:p>
      <w:r>
        <w:t>L'appelante fait grief au premier juge de n'avoir pas pris en compte certains éléments dans le calcul des charges des enfants. Elle lui reproche en outre, de manière générale, de n'avoir pas fixé des contributions à l'entretien des enfants plus élevées. Elle fait valoir que l'application tant de la "méthode du minimum vital avec répartition de l'excédent" que de celle des tabelles zurichoises avec augmentation de 25% vu les revenus confortables des parents, conduirait à des montants plus élevés que ceux retenus.</w:t>
      </w:r>
    </w:p>
    <w:p>
      <w:r>
        <w:rPr>
          <w:b/>
        </w:rPr>
        <w:t>E. 3.1</w:t>
      </w:r>
    </w:p>
    <w:p>
      <w:r>
        <w:t>La loi ne prescrit pas de méthode de calcul particulière pour arrêter la contribution d'entretien (TF, arrêt 5A_178/2008 du 23 avril 2008 consid. 3.2; ATF 128 III 411 consid. 3.2.2); sa fixation relève de l'appréciation du juge, qui applique les règles du droit et de l'équité (art. 4 CC; ATF 128 III 161 consid. 2c/aa; 127 III 136 consid. 3a). Pour déterminer la capacité contributive des parents et les besoins concrets de l'enfant, la jurisprudence admet, comme l'une des méthodes possibles, la méthode dite du « minimum vital » (ATF 127 III 68, JdT 2001 I 562 consid. 2b; 126 III 353; JdT 2002 I 162 consid. 1a/aa).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(ch. I des Normes d'insaisissabilité, RS/GE E 3 60.04). S'il est admissible de procéder à un calcul sur la base du minimum vital élargi et répartition de l'excédent pour déterminer la contribution du conjoint au sens de l'art. 125 al. 1 CC, cet excédent ne peut être réparti qu'entre les époux, et non également entre les enfants. La moitié de l'excédent (ou une éventuelle autre proportion en raison de circonstances spéciales) doit être attribuée au conjoint bénéficiaire (arrêt du Tribunal fédéral 5A_621/2013 consid. 3.4). S'agissant de la méthode des "Tabelles zurichoises", il convient d'affiner celles-ci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En cas de situation financière particulièrement bonne, il n'est pas nécessaire de prendre en considération toute la force contributive des</w:t>
      </w:r>
    </w:p>
    <w:p>
      <w:r>
        <w:t>- 8/11 -</w:t>
      </w:r>
    </w:p>
    <w:p>
      <w:r>
        <w:t>C/24104/2018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Par ailleurs, pour ce qui est du poste "loyer" prévu par ces tabelles, il a été jugé arbitraire de l'inclure dans les besoins de l'enfant lorsque ceux-ci n'étaient pas effectifs, à savoir lorsqu'ils étaient déjà pris en charge par le débiteur de l'entretien (arrêt du Tribunal fédéral 5A_751/2016 du 6 avril 2017 consid. 3.3.1 et 3.4, de même que les références citées).</w:t>
      </w:r>
    </w:p>
    <w:p>
      <w:r>
        <w:rPr>
          <w:b/>
        </w:rPr>
        <w:t>E. 3.2</w:t>
      </w:r>
    </w:p>
    <w:p>
      <w:r>
        <w:t>En l'espèce, s'agissant tout d'abord des frais de poney et de patinage, le premier juge a retenu un montant mensuel de 50 fr. au titre de loisirs/sports pour chaque enfant, correspondant à la moyenne des frais résultant de la note manuscrite et de la facture produites comme preuve du coût de ces activités. En appel, l'appelante a versé de nouvelles pièces relatives à d'autres activités extrascolaires des enfants (natation, cours de poney, cours d'anglais) dès la rentrée 2020. Elle a également justifié du paiement de cours d'arabe pour l'aînée.</w:t>
      </w:r>
    </w:p>
    <w:p>
      <w:r>
        <w:t>Au regard de ce qui précède, et vu la situation financière confortable du débirentier, dont le disponible est de l'ordre de 5'400 fr., il se justifie de retenir dans les charges des enfants un montant forfaitaire de 250 fr. par mois pour les activités extrascolaires (au lieu des 75 fr. [25 fr. + 50 fr.]) retenus par le Tribunal), celles-ci étant notoirement susceptibles de changer au fil du temps.</w:t>
      </w:r>
    </w:p>
    <w:p>
      <w:r>
        <w:t>Il n'y a en revanche pas lieu de déjà tenir compte d'une augmentation chiffrée des primes d'assurance-maladie des enfants à leur majorité, celle-ci ne devant intervenir que dans plus de dix ans pour l'aînée, de sorte qu'une estimation à cet égard est trop incertaine pour être arrêtée de manière précise aujourd'hui déjà.</w:t>
      </w:r>
    </w:p>
    <w:p>
      <w:r>
        <w:t>Cela étant, le premier juge en a tenu compte, tout comme des coûts notoirement plus élevés d'un adolescent, contrairement à ce que soutient l'appelante, en donnant acte à l'intimé de son engagement de verser une contribution d'entretien supérieure au montant des besoins effectifs actuels des enfants.</w:t>
      </w:r>
    </w:p>
    <w:p>
      <w:r>
        <w:t>Au vu des considérants qui précèdent, et pour reprendre la solution retenue par le Tribunal consistant à mettre à la charge de l'intimé un montant de contribution supérieur aux besoins effectifs des enfants, tout en veillant à ce que le disponible de chaque époux soit du même ordre, les contributions d'entretien pour chaque enfant seront fixées en équité, à 1'400 fr. jusqu'à l'âge de 8 ans, puis à 1'550 fr. jusqu'à 12 ans, et enfin à 1'700 fr. de 12 ans jusqu'à la majorité, voire au-delà en cas d'études régulières et sérieuses, mais au maximum jusqu'à 25 au plus (cette limite n'étant pas remise en cause en appel).</w:t>
      </w:r>
    </w:p>
    <w:p>
      <w:r>
        <w:t>- 9/11 -</w:t>
      </w:r>
    </w:p>
    <w:p>
      <w:r>
        <w:t>C/24104/2018</w:t>
      </w:r>
    </w:p>
    <w:p>
      <w:r>
        <w:t>Elles seront dues dès le mois de septembre 2020, date de l'entrée à l'école de la cadette et du début des nouvelles activités extrascolaires. Les contributions fixées par le Tribunal jusqu'au mois d'août 2020 seront confirmées (ch. 6 du dispositif), car arrêtées conformément aux éléments du dossier pour la période considérée. Le grief de l'appelante visant à une répartition de l'excédent en faveur des enfants n'est pas fondé, comme cela ressort de la jurisprudence précitée. Ni l'application des tabelles zurichoises ni l'adjonction d'un pourcentage de 25% en cas de situation financière favorable ne sauraient intervenir de manière automatique. Les montants auxquels la Cour parvient tiennent équitablement compte des besoins particuliers concrets des enfants, ainsi que du niveau de vie et de la capacité contributive des parents. L'appelante n'expose d'ailleurs pas de quels éléments particuliers il faudrait tenir compte en sus de ceux retenus pour parvenir à une solution différente.</w:t>
      </w:r>
    </w:p>
    <w:p>
      <w:r>
        <w:rPr>
          <w:b/>
        </w:rPr>
        <w:t>E. 4</w:t>
      </w:r>
    </w:p>
    <w:p>
      <w:r>
        <w:t>Il ne se justifie pas de revenir sur la quotité et la répartition des frais de première instance, non remises en cause en appel, et arrêtées conformément à la loi (art. 318 al. 3 CPC, art. 106 et 107 al. 1 let. c CPC).</w:t>
      </w:r>
    </w:p>
    <w:p>
      <w:r>
        <w:t>Les frais d'appel, arrêtés à 1'000 fr., seront mis à la charge des parties à raison d'une moitié chacune, en raison du sort du litige et de la nature familiale de celui- ci.</w:t>
      </w:r>
    </w:p>
    <w:p>
      <w:r>
        <w:t>L'intimé sera ainsi condamné à verser à l'appelante la somme de 500 fr. à titre de remboursement des frais d'appel.</w:t>
      </w:r>
    </w:p>
    <w:p>
      <w:r>
        <w:t>Pour les mêmes raisons, chaque partie supportera ses propres dépens d'appel. * * * * *</w:t>
      </w:r>
    </w:p>
    <w:p>
      <w:r>
        <w:t>- 10/11 -</w:t>
      </w:r>
    </w:p>
    <w:p>
      <w:r>
        <w:t>C/24104/2018 PAR CES MOTIFS, La Chambre civile : A la forme : Déclare recevable l'appel interjeté par A______ contre le jugement JTPI/4668/2020 rendu le 27 avril 2020 par le Tribunal de première instance dans la cause C/24104/2018- 19. Au fond : Annule le chiffre 7 du dispositif de ce jugement. Cela fait, statuant à nouveau sur ce point: Condamne B______ à verser en mains de A______, par enfant, par mois et d'avance, allocations familiales non comprises, dès le mois de septembre 2020, la somme de 1'400 fr. jusqu'à l'âge de 8 ans révolus, puis de 1'550 fr. jusqu'à 12 ans révolus, et enfin de 1'700 fr. jusqu'à la majorité voire au-delà en cas d'études régulières et sérieuses, mais jusqu'à 25 ans au maximum. Confirme le jugement pour le surplus. Sur les frais : Arrête les frais d'appel à 1'000 fr., les met à la charge de chacune des parties à raison d'une moitié chacune, et dit qu'ils sont compensés avec l'avance fournie, acquise à l'Etat de Genève. Condamne en conséquence B______ à verser à A______ la somme de 500 fr. à titre de remboursement des frais avancés. Dit que chaque partie supportera ses propres dépens d'appel. Siégeant : Monsieur Cédric-Laurent MICHEL, président; Mesdames Pauline ERARD et Paola CAMPOMAGNANI, juges; Madame Christel HENZELIN, greffière. Le président : Cédric-Laurent MICHEL</w:t>
      </w:r>
    </w:p>
    <w:p>
      <w:r>
        <w:t>La greffière : Christel HENZELIN</w:t>
      </w:r>
    </w:p>
    <w:p>
      <w:r>
        <w:t>- 11/11 -</w:t>
      </w:r>
    </w:p>
    <w:p>
      <w:r>
        <w:t>C/24104/2018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