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ACJC/1513/2016 vom 24. November 2016</w:t>
      </w:r>
    </w:p>
    <w:p>
      <w:r>
        <w:t>GE Cour de justice, 2016-11-24, FR</w:t>
      </w:r>
    </w:p>
    <w:p>
      <w:r>
        <w:rPr>
          <w:b/>
        </w:rPr>
        <w:t xml:space="preserve">Quelle: </w:t>
      </w:r>
      <w:r>
        <w:t>https://mcp.opencaselaw.ch/entscheid/ge_gerichte_ACJC_1513_2016</w:t>
      </w:r>
    </w:p>
    <w:p>
      <w:r>
        <w:t>FR: GE_GERICHTE ACJC/1513/2016 du 24 novembre 2016</w:t>
      </w:r>
    </w:p>
    <w:p>
      <w:r>
        <w:t>IT: GE_GERICHTE ACJC/1513/2016 del 24 novembre 2016</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En l'espèce, l'ordonnance entreprise est une ordonnance d'instruction, relevant de l'administration des preuves au sens de l'art. 319 let. b CPC.</w:t>
      </w:r>
    </w:p>
    <w:p>
      <w:r>
        <w:rPr>
          <w:b/>
        </w:rPr>
        <w:t>E. 1.2</w:t>
      </w:r>
    </w:p>
    <w:p>
      <w:r>
        <w:t>Cette ordonnance est susceptible d'un recours immédiat dans les dix jours à compter de sa notification (art. 321 al. 1 et 2 CPC).</w:t>
      </w:r>
    </w:p>
    <w:p>
      <w:r>
        <w:t>- 7/11 -</w:t>
      </w:r>
    </w:p>
    <w:p>
      <w:r>
        <w:t>C/6953/2014 Le recours formé par A______ a été introduit en temps utile et selon la forme prescrite par la loi. Il reste toutefois à déterminer si la décision querellée est susceptible de causer un préjudice difficilement réparable au sens de l'art. 319 let. b ch. 2 CPC, les autres hypothèses visées par l'art. 319 let. b ch. 1 CPC n'étant pas réalisées (cf. JEANDIN, op. cit., n. 18 ad art. 319 CPC). Cette question sera abordée sous chiffre 3 ci-dessous, après l'examen du grief relatif à la violation du droit d'être entendu soulevé par la recourante.</w:t>
      </w:r>
    </w:p>
    <w:p>
      <w:r>
        <w:rPr>
          <w:b/>
        </w:rPr>
        <w:t>E. 2</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2.1.2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2.2</w:t>
      </w:r>
    </w:p>
    <w:p>
      <w:r>
        <w:t>En l'espèce, les parties ont eu la possibilité de s'exprimer avant le prononcé de l'ordonnance de preuve litigieuse, de sorte qu'à cet égard leur droit d'être entendu a été respecté.</w:t>
      </w:r>
    </w:p>
    <w:p>
      <w:r>
        <w:t>La recourante avait sollicité une expertise notariale dans le but de prouver le contenu des allégués 132, 144 et 145 de son mémoire réponse. Le Tribunal n'a pas</w:t>
      </w:r>
    </w:p>
    <w:p>
      <w:r>
        <w:t>- 8/11 -</w:t>
      </w:r>
    </w:p>
    <w:p>
      <w:r>
        <w:t>C/6953/2014 accédé à cette requête, sans toutefois motiver sa décision. En effet, cette question n'a été abordée ni dans l'ordonnance de preuve objet de la présente procédure de recours, ni dans l'ordonnance par laquelle le Tribunal a confié à un expert immobilier la mission de déterminer la valeur de la villa propriété des parties. Dans cette mesure, le droit d'être entendu de la recourante a été violé, puisqu'elle ignore les raisons pour lesquelles le Tribunal a refusé d'ordonner l'expertise sollicitée, ce qui l'empêche d'attaquer la décision en toute connaissance de cause. Cela étant, la Cour considère que le renvoi de la procédure au juge de première instance afin qu'il motive sa décision serait en l'espèce une formalité dénuée d'intérêt pratique puisque, qu'elle que soit la motivation du refus d'ordonner une expertise notariale, une telle décision n'est pas susceptible de causer à la recourante un préjudice difficilement réparable. Or, l'absence d'un tel préjudice entraîne, quoi qu'il en soit et conformément à ce qui sera démontré ci-après, l'irrecevabilité du recours.</w:t>
      </w:r>
    </w:p>
    <w:p>
      <w:r>
        <w:rPr>
          <w:b/>
        </w:rPr>
        <w:t>E. 3.1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w:t>
      </w:r>
    </w:p>
    <w:p>
      <w:r>
        <w:t>- 9/11 -</w:t>
      </w:r>
    </w:p>
    <w:p>
      <w:r>
        <w:t>C/6953/2014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3.2</w:t>
      </w:r>
    </w:p>
    <w:p>
      <w:r>
        <w:t>Dans le cas d'espèce, le Tribunal a refusé d'ordonner une expertise notariale et la production du règlement de la Caisse de pension ______. Contrairement à ce qu'allègue la recourante et pour autant que son argumentation soit compréhensible, le refus du juge de première instance d'accéder à ses requêtes sur les deux points susmentionnés n'est pas de nature à lui causer un préjudice difficilement réparable. En effet, si à l'issue de la procédure et à réception du jugement au fond la recourante devait persister à considérer que le Tribunal a refusé à tort l'expertise sollicitée et la production des pièces requises, elle pourra diriger ses griefs contre la décision finale par la voie de l'appel prévue à l'art. 308 CPC, l'instance d'appel ayant la possibilité d'administrer des preuves (art. 316 al. 3 CPC) ou de renvoyer la cause en première instance pour complément d'instruction (art. 318 al. 1 let. c CPC). Il n'est par ailleurs pas démontré que la Caisse de pension de l'intimé ne sera plus en mesure d'indiquer, postérieurement au 1er janvier 2017, la part éventuelle des cotisations volontaires, si tant est que cette question soit pertinente pour l'issue du litige. Cette manière de procéder entraînera certes un allongement de la durée de la procédure, mais conformément aux principes rappelés ci-dessus et en l'absence de circonstances particulières, une prolongation de la procédure due au fait que le recourant ne pourra attaquer l'ordonnance litigieuse qu'avec le jugement rendu sur le fond ne constitue pas, en tant que tel, un dommage difficilement réparable (ACJC/351/2014 du 14 mars 2014 consid. 2.3.1; JEANDIN, op. cit., n. 25 ad art. 319 CPC). La Cour relève pour le surplus que le Tribunal ayant ordonné l'interrogatoire ou la déposition des parties, la recourante pourra poser à l'intimé toutes questions utiles sur les prélèvements opérés sur son salaire au titre des cotisations en faveur de sa caisse de prévoyance et sur la signification des termes "Rap caisse retr CP" figurant sur ses fiches de salaire. Par ailleurs, le règlement général de la Caisse de prévoyance ______ est publié au recueil officiel sous ______.</w:t>
      </w:r>
    </w:p>
    <w:p>
      <w:r>
        <w:t>- 10/11 -</w:t>
      </w:r>
    </w:p>
    <w:p>
      <w:r>
        <w:t>C/6953/2014 La Cour rappellera enfin la teneur de l'art. 154 CPC in fine, qui permet le cas échéant au Tribunal de modifier ou de compléter les ordonnances de preuve en tout temps. Il résulte de ce qui précède que la recourante ne subit pas de préjudice difficilement réparable du fait de l'ordonnance querellée, puisqu'elle conserve ses moyens dans le cadre de l'appel contre le jugement au fond. La recourante n'allègue ni ne démontre que l'un ou l'autre des moyens de preuve dont le premier juge a écarté l'administration ne pourrait plus être administré par la suite, notamment par l'instance d'appel, ou ne pourrait l'être que dans des conditions notablement plus onéreuses ou difficiles. Le recours sera par conséquent déclaré irrecevable.</w:t>
      </w:r>
    </w:p>
    <w:p>
      <w:r>
        <w:rPr>
          <w:b/>
        </w:rPr>
        <w:t>E. 4</w:t>
      </w:r>
    </w:p>
    <w:p>
      <w:r>
        <w:t>La recourante, qui succombe, sera condamnée aux frais judiciaires du recours arrêtés à 1'000 fr. (art. 104 al. 1, 105 et 106 al. 1 CPC; art. 71 RTFMC), compensés avec l'avance de frais de même montant, qui reste acquise à l'Etat.</w:t>
      </w:r>
    </w:p>
    <w:p>
      <w:r>
        <w:t>La recourante sera en outre condamnée aux dépens de l'intimé, fixés à 1'000 fr., débours et TVA inclus (art. 95, 104 al. 1, 105 et 106 al. 1 CPC; art. 85, 87 et 90 RTFMC; art. 23 al. 1, 25 et 26 LaCC). * * * * *</w:t>
      </w:r>
    </w:p>
    <w:p>
      <w:r>
        <w:t>- 11/11 -</w:t>
      </w:r>
    </w:p>
    <w:p>
      <w:r>
        <w:t>C/6953/2014 PAR CES MOTIFS, La Chambre civile : A la forme : Déclare irrecevable le recours interjeté par A______ contre l'ordonnance ORTPI/344/2016 rendue le 3 mai 2016 par le Tribunal de première instance dans la cause C/6953/2014-8. Sur les frais : Arrête les frais judiciaires à 1'000 fr., les met à la charge de A______ et les compense avec l'avance de frais de même montant, qui reste acquise à l'Etat. Condamne A______ à verser à B______ la somme de 1'000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