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ACJC/1513/2014 vom 16. September 2014</w:t>
      </w:r>
    </w:p>
    <w:p>
      <w:r>
        <w:t>GE Cour de justice, 2014-09-16, FR</w:t>
      </w:r>
    </w:p>
    <w:p>
      <w:r>
        <w:rPr>
          <w:b/>
        </w:rPr>
        <w:t xml:space="preserve">Quelle: </w:t>
      </w:r>
      <w:r>
        <w:t>https://mcp.opencaselaw.ch/entscheid/ge_gerichte_ACJC_1513_2014</w:t>
      </w:r>
    </w:p>
    <w:p>
      <w:r>
        <w:t>FR: GE_GERICHTE ACJC/1513/2014 du 16 septembre 2014</w:t>
      </w:r>
    </w:p>
    <w:p>
      <w:r>
        <w:t>IT: GE_GERICHTE ACJC/1513/2014 del 16 settembre 2014</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Il est ainsi recevable.</w:t>
      </w:r>
    </w:p>
    <w:p>
      <w:r>
        <w:rPr>
          <w:b/>
        </w:rPr>
        <w:t>E. 2</w:t>
      </w:r>
    </w:p>
    <w:p>
      <w:r>
        <w:t>Selon l'art. 326 al. 1 CPC, les conclusions, allégations de faits et preuves nouvelles sont irrecevables.</w:t>
      </w:r>
    </w:p>
    <w:p>
      <w:r>
        <w:t>Les pièces nouvellement déposées par la requérante ne sont donc pas recevables.</w:t>
      </w:r>
    </w:p>
    <w:p>
      <w:r>
        <w:rPr>
          <w:b/>
        </w:rPr>
        <w:t>E. 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4</w:t>
      </w:r>
    </w:p>
    <w:p>
      <w:r>
        <w:t>La recourante reproche au Tribunal de ne pas avoir accueilli sa requête de mainlevée définitive au motif qu'elle n'aurait pas procédé à des sommations, condition, selon elle, qui ne s'applique pas à l'assureur-accidents obligatoire.</w:t>
      </w:r>
    </w:p>
    <w:p>
      <w:r>
        <w:t>- 4/6 -</w:t>
      </w:r>
    </w:p>
    <w:p>
      <w:r>
        <w:t>C/9313/2014</w:t>
      </w:r>
    </w:p>
    <w:p>
      <w:r>
        <w:rPr>
          <w:b/>
        </w:rPr>
        <w:t>E. 4.1</w:t>
      </w:r>
    </w:p>
    <w:p>
      <w:r>
        <w:t>L'art. 80 al. 1 LP prévoit que le créancier qui est au bénéfice d'un jugement exécutoire peut requérir du juge la mainlevée définitive de l'opposition.</w:t>
      </w:r>
    </w:p>
    <w:p>
      <w:r>
        <w:t>Sont assimilées à des jugements les décisions définitives des autorités administratives suisses (art. 80 al. 2 ch. 2 LP).</w:t>
      </w:r>
    </w:p>
    <w:p>
      <w:r>
        <w:t>Selon l'art. 54 al. 2 de la loi sur la partie générale du droit des assurances sociales (LPGA), les décisions et les décisions sur opposition exécutoires qui portent condamnation à payer une somme d'argent ou à fournir des sûretés sont assimilées aux jugements exécutoires au sens de l'art. 80 de la loi fédérale du 11 avril 1889 sur la poursuite pour dettes et la faillite.</w:t>
      </w:r>
    </w:p>
    <w:p>
      <w:r>
        <w:t>L'art. 99 LAA dispose que les décomptes de primes fondés sur des décisions entrées en force sont exécutoires, conformément à l'art. 54 LPGA.</w:t>
      </w:r>
    </w:p>
    <w:p>
      <w:r>
        <w:t>Selon l'art. 93 LAA, l'employeur doit établir régulièrement un relevé de salaires donnant, pour chaque travailleur, des renseignements exacts sur le mode d'occupation, le salaire, le nombre et les dates des jours de travail. Il donne à l'assureur, sur demande, des renseignements complémentaires concernant tout ce qui intéresse l'assurance et lui permet de consulter les relevés de salaires ainsi que les pièces justificatives (al. 1). L'assureur évalue d'avance le montant des primes pour un exercice annuel entier et le porte à la connaissance de l'employeur. En cas de modification importante, les primes peuvent être adaptées en cours d'année (al. 2). Les primes pour chaque exercice annuel sont payables d'avance. Moyennant une majoration convenable, l'employeur ou l'assuré à titre facultatif peut échelonner le paiement des primes par semestres ou par trimestres (al. 3). A la fin de l'exercice annuel, le montant des primes est définitivement calculé par l'assureur d'après le total effectif des salaires. Si le relevé de salaires ne donne pas de renseignements sûrs, l'assureur a recours à d'autres moyens de renseignements et l'employeur perd le droit de contester le montant fixé. L'insuffisance ou l'excès du montant payé donne lieu à perception complémentaire, à restitution ou à compensation. Les paiements complémentaires doivent être acquittés dans le mois qui suit la notification du décompte (al. 4). Le Conseil fédéral édicte des prescriptions sur les majorations en cas de paiements échelonnés ou lorsque le délai de paiement n'a pas été respecté, sur les relevés de salaires, leur revision et leur conservation, ainsi que sur le décompte des primes. Il veille à la coordination des dispositions concernant la définition du gain assuré dans l'assurance-accidents et dans les autres branches des assurances sociales (al. 5).</w:t>
      </w:r>
    </w:p>
    <w:p>
      <w:r>
        <w:t>Selon l'art. 66 al. 1 let. e LAA, sont assurés à titre obligatoire auprès de la CNA, les travailleurs des entreprises qui travaillent avec des machines le métal, le bois, le liège, les matières synthétiques, la pierre ou le verre, ainsi que les fonderies.</w:t>
      </w:r>
    </w:p>
    <w:p>
      <w:r>
        <w:rPr>
          <w:b/>
        </w:rPr>
        <w:t>E. 4.2</w:t>
      </w:r>
    </w:p>
    <w:p>
      <w:r>
        <w:t>En l'occurrence, le premier juge, pour rejeter la requête de mainlevée, s'est référé à un arrêt du Tribunal fédéral des assurances du 26 juin 2006 (K 63/05), qui</w:t>
      </w:r>
    </w:p>
    <w:p>
      <w:r>
        <w:t>- 5/6 -</w:t>
      </w:r>
    </w:p>
    <w:p>
      <w:r>
        <w:t>C/9313/2014 se rapporte à l'assurance-maladie, comme le souligne la recourante, et non à l'assurance-accidents. Cette décision retenait notamment que préalablement à toute mesure d'exécution forcée, les assureurs étaient tenus de réclamer le paiement de leurs prétentions par voie de sommation et d'agir ensuite, en cas d'inexécution, par la voie de la poursuite pour dettes selon la LP; elle citait aussi l'art. 90 al. 3 OAMal, dont la recourante souligne à raison qu'il a été abrogé.</w:t>
      </w:r>
    </w:p>
    <w:p>
      <w:r>
        <w:t>Le premier juge a en outre visé l'art. 15 LPGA, comme base légale imposant une sommation avant toute poursuite. Or, cette disposition, dans sa version actuelle, n'a pas trait à une telle sommation.</w:t>
      </w:r>
    </w:p>
    <w:p>
      <w:r>
        <w:t>Le jugement entrepris apparaît ainsi erroné dans sa motivation. In casu, la recourante a produit, en annexe à sa requête de mainlevée définitive, un extrait du fichier de ses membres, qui permet de déterminer que les travailleurs employés par l'intimée sont obligatoirement assurés, en vertu de la loi, auprès d'elle, et ce depuis 2013.</w:t>
      </w:r>
    </w:p>
    <w:p>
      <w:r>
        <w:t>La facture produite représente une décision de primes provisoires pour 2013 qui n'a pas fait l'objet d'opposition, selon les indications non contestées de la recourante.</w:t>
      </w:r>
    </w:p>
    <w:p>
      <w:r>
        <w:t>Dès lors, la recourante dispose d'une décision définitive assimilable à des jugements valant titre de mainlevée.</w:t>
      </w:r>
    </w:p>
    <w:p>
      <w:r>
        <w:t>Le recours est ainsi fondé. Le jugement attaqué sera annulé, et il sera statué à nouveau (art. 327 al. 3 let. b CPC). La mainlevée définitive de l'opposition sera prononcée.</w:t>
      </w:r>
    </w:p>
    <w:p>
      <w:r>
        <w:rPr>
          <w:b/>
        </w:rPr>
        <w:t>E. 5</w:t>
      </w:r>
    </w:p>
    <w:p>
      <w:r>
        <w:t>L'intimée, qui succombe, supportera les frais du recours (art. 106 al. 1 CPC), arrêtés à 450 fr. (art. 48, 61 OELP), ainsi que les frais de première instance, fixés à 350 fr. (art. 48 OELP), couverts par les avances déjà effectuées, acquises à l'Etat de Genève (art. 111 al. 1 CPC).</w:t>
      </w:r>
    </w:p>
    <w:p>
      <w:r>
        <w:t>Il ne sera pas alloué de dépens, la recourante comparaissant en personne et les conditions de l'art. 95 al. 2 let. c CPC n'étant pas réalisées. * * * * *</w:t>
      </w:r>
    </w:p>
    <w:p>
      <w:r>
        <w:t>- 6/6 -</w:t>
      </w:r>
    </w:p>
    <w:p>
      <w:r>
        <w:t>C/9313/2014</w:t>
      </w:r>
    </w:p>
    <w:p>
      <w:r>
        <w:t>PAR CES MOTIFS, La Chambre civile : A la forme : Déclare recevable le recours formé le 9 octobre 2014 par A______ contre le jugement JTPI/11446/2014 rendu le 16 septembre 2014 par le Tribunal de première instance dans la cause C/9313/2014-14 SML. Au fond : Annule ce jugement. Cela fait, statuant à nouveau : Prononce la mainlevée définitive de l'opposition formée par B______ au commandement de payer poursuite n° ______. Déboute les parties de toutes autres conclusions. Sur les frais : Arrête les frais de première instance et de recours à 750 fr., couverts par les avances déjà opérées, acquises à l'Etat de Genève. Les met à la charge de B______. Condamne B______ à verser 750 fr. à A______.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