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ACJC/1510/2015 vom 23. Juli 2015</w:t>
      </w:r>
    </w:p>
    <w:p>
      <w:r>
        <w:t>GE Cour de justice, 2015-07-23, FR</w:t>
      </w:r>
    </w:p>
    <w:p>
      <w:r>
        <w:rPr>
          <w:b/>
        </w:rPr>
        <w:t xml:space="preserve">Quelle: </w:t>
      </w:r>
      <w:r>
        <w:t>https://mcp.opencaselaw.ch/entscheid/ge_gerichte_ACJC_1510_2015</w:t>
      </w:r>
    </w:p>
    <w:p>
      <w:r>
        <w:t>FR: GE_GERICHTE ACJC/1510/2015 du 23 juillet 2015</w:t>
      </w:r>
    </w:p>
    <w:p>
      <w:r>
        <w:t>IT: GE_GERICHTE ACJC/1510/2015 del 23 luglio 2015</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t>En l'espèce, compte tenu d'un loyer mensuel de 10'960 fr. par mois, la valeur minimale de 10'000 fr. est atteinte. La voie de l'appel est donc ouverte.</w:t>
      </w:r>
    </w:p>
    <w:p>
      <w:r>
        <w:rPr>
          <w:b/>
        </w:rPr>
        <w:t>E. 1.2</w:t>
      </w:r>
    </w:p>
    <w:p>
      <w:r>
        <w:t>Interjeté dans le délai et suivant la forme prescrits par la loi (art. 130, 131, 311 al. 1 CPC), l'appel est recevable.</w:t>
      </w:r>
    </w:p>
    <w:p>
      <w:r>
        <w:rPr>
          <w:b/>
        </w:rPr>
        <w:t>E. 1.3</w:t>
      </w:r>
    </w:p>
    <w:p>
      <w:r>
        <w:t>Les exigences posées par l'art. 257 al. 1 CPC doivent être satisfaites en première instance déjà. Le juge d'appel ne saurait contrôler cette appréciation sur</w:t>
      </w:r>
    </w:p>
    <w:p>
      <w:r>
        <w:t>- 5/9 -</w:t>
      </w:r>
    </w:p>
    <w:p>
      <w:r>
        <w:t>C/208/2015 la base de pièces différentes, fussent-elles recevables au regard de l'art. 317 al. 1 CPC (arrêt du Tribunal fédéral 4A_420/2012 du 7 novembre 2012 consid. 5, in SJ 2013 I 129).</w:t>
      </w:r>
    </w:p>
    <w:p>
      <w:r>
        <w:t>En l'espèce, les pièces nouvelles produites par les parties sont recevables en tant qu'elles portent sur des faits notoires (extraits du Registre du commerce, conditions générales pour les locaux commerciaux, facilement accessibles sur internet). Elles sont irrecevables pour le surplus, sous réserve de celles liées à la faillite de B______, qui ne sont pas destinées à démontrer la réalisation des conditions de l'art. 257 al. 1 CPC et portent sur des faits intervenus postérieurement à la date à laquelle le Tribunal a gardé la cause à juger. A______ n'avait par ailleurs pas allégué devant le Tribunal, devant lequel pas moins de trois audiences se sont tenues, qu'il n'avait pas reçu l'avis comminatoire. Il s'agit là d'un fait nouveau, irrecevable en tant que tel. Cela étant, la réalisation des conditions d'une résiliation du bail en application de l'art. 257d CO, dont fait partie la notification d'un avis comminatoire, doit être prouvée par le demandeur, en principe par titre, dans le cadre de sa demande en protection de cas clair.</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faillite d'une des parties recourante ayant été prononcée après le prononcé du jugement du Tribunal, se pose la question de l'éventuelle suspension de la présente procédure.</w:t>
      </w:r>
    </w:p>
    <w:p>
      <w:r>
        <w:t>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Eu égard au caractère urgent de la procédure d'évacuation, celle-ci ne doit cependant pas être suspendue, indépendamment de la question de savoir si elle influe sur l'état de la masse en faillite (arrêt du Tribunal fédéral 4C.129/2005 du</w:t>
      </w:r>
    </w:p>
    <w:p>
      <w:r>
        <w:t>- 6/9 -</w:t>
      </w:r>
    </w:p>
    <w:p>
      <w:r>
        <w:t>C/208/2015</w:t>
      </w:r>
    </w:p>
    <w:p>
      <w:r>
        <w:rPr>
          <w:b/>
        </w:rPr>
        <w:t>E. 5</w:t>
      </w:r>
    </w:p>
    <w:p>
      <w:r>
        <w:t>août 2005 consid. 4.2 et les références citées), compte tenu notamment du fait que le loyer n'est plus payé et que, faute d'expulsion, le bailleur ne peut faire entrer un nouveau locataire dans l'immeuble et perd dès lors le revenu que pourrait lui assurer un nouveau bail (arrêt de la Cour de justice du 7 juillet 1931, publié in SJ 1931 p. 615, spéc. p. 617, rendu en application de l'art. 265 aCO). Il ne se justifie dès lors pas de suspendre la présente procédure à la suite de la faillite de la recourante, ce que les parties ne sollicitent d’ailleurs pas. 3. A la suite de la faillite de l'appelante, seule la masse en faillite, représentée par l'administration de la masse en faillite, a la faculté de continuer la procédure en vertu de l'art. 740 al. 5 CO et des art. 204 et 240 LP (cf. arrêt du Tribunal fédéral 4A_87/2013 du 22 janvier 2014 consid. 2.3). Il ressort clairement de son courrier du 14 août 2015 que l'administration de la faillite ne veut pas entrer dans le contrat de bail et qu'elle souhaite que la bailleresse puisse relouer les locaux au plus vite, ce qui signifie qu'elle ne s'oppose pas à l'évacuation dans les plus brefs délais. On ne voit d'ailleurs pas quel pourrait être l'intérêt de la société à conserver la jouissance des locaux loués alors même qu'elle est en faillite. Pour le surplus, l'argumentation juridique ne pouvant être complétée, B______, en liquidation ne pourrait pas faire valoir de nouveaux moyens de droit à l'appui de l'appel formé avant qu'elle ne soit déclarée en faillite. Il n'y a dès lors pas lieu d'accorder un délai à l'Office des poursuites pour lui permettre de se déterminer sur le sort de la cause. 4. Les appelants contestent que les conditions de l'art. 257 CPC soient réunies, invoquant que l'avis comminatoire n'a pas été correctement notifié à A______ qui ne l'a pas reçu et n'a pas été en mesure d'invoquer la compensation.</w:t>
      </w:r>
    </w:p>
    <w:p>
      <w:r>
        <w:t>4.1.1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w:t>
      </w:r>
    </w:p>
    <w:p>
      <w:r>
        <w:t>- 7/9 -</w:t>
      </w:r>
    </w:p>
    <w:p>
      <w:r>
        <w:t>C/208/2015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t>4.1.2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r>
        <w:t>4.1.3 Lorsque l'agent postal n'a pas pu remettre le pli recommandé à son destinataire ou à un tiers autorisé et qu'un avis de retrait a été laissé dans sa boîte aux lettres ou sa case postale, la communication est reçue dès que le destinataire est en mesure d'en prendre connaissance au bureau de la poste selon l'avis de retrait, soit en règle générale le lendemain du dépôt de l'avis de retrait (théorie de la réception absolue). En matière de bail, il est dérogé à cette théorie dans deux cas, soit pour la communication de l'avis de majoration du loyer au sens de l'art. 269d CO et pour celle de la sommation de payer selon l'art. 257d CO (théorie de la réception relative).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w:t>
      </w:r>
    </w:p>
    <w:p>
      <w:r>
        <w:t>- 8/9 -</w:t>
      </w:r>
    </w:p>
    <w:p>
      <w:r>
        <w:t>C/208/2015 effectivement au guichet de la poste ou, à supposer qu'il ne soit pas retiré dans le délai de garde de sept jours, le septième et dernier jour de ce délai (ATF 140 III 244 consid. 5.1; ATF 137 III 208 consid. 3.1.2 et 3.1.3).</w:t>
      </w:r>
    </w:p>
    <w:p>
      <w:r>
        <w:t>4.2 En l'espèce, l'existence d'un arriéré de loyer à la date de la mise en demeure et son non-paiement dans le délai imparti ne sont pas contestés et sont établis par les pièces produites. Les causes de l'arriéré de loyer, à savoir l'obligation de rembourser l'arriéré de loyer du précédent exploitant selon les explications fournies devant la Cour, voire les mauvaises conditions climatiques et des travaux dans la rue selon les indications données devant le Tribunal, ne sont par ailleurs pas pertinentes.</w:t>
      </w:r>
    </w:p>
    <w:p>
      <w:r>
        <w:t>Il doit en outre être admis que tant les avis comminatoires que les avis de résiliation ont été valablement notifiés aux locataires, quand bien même les recourants n'ont pas retiré les plis recommandés les contenant. Ceux-ci doivent en effet être considérés comme reçus à l'issue du délai de garde de sept jours, respectivement le lendemain du dépôt de l'avis de retrait du pli recommandé. Le fait que les avis n'ont pas été adressés à A______ à son domicile personnel n'est pas pertinent dans la mesure où, d'une part, les avis ont été adressés à l'adresse des locaux loués, ce qui est conforme à l'usage et d'ailleurs prévu par l'art. 30 ch. 1 des conditions générales pour locaux commerciaux, et d'autre part, l'intéressé, qui indique avoir changé de domicile depuis la conclusion du bail, n'a pas allégué avoir communiqué une quelconque adresse au bailleur à laquelle les communications concernant le bail devaient lui être envoyées.</w:t>
      </w:r>
    </w:p>
    <w:p>
      <w:r>
        <w:t>Le cas doit donc être considéré comme clair et c'est à bon droit que le Tribunal a prononcé l'évacuation des locataires.</w:t>
      </w:r>
    </w:p>
    <w:p>
      <w:r>
        <w:t>Ces derniers ne remettent par ailleurs pas en cause le délai de 30 jours après l'entrée en force du jugement avant que l'intimée puisse requérir leur évacuation par la force publique.</w:t>
      </w:r>
    </w:p>
    <w:p>
      <w:r>
        <w:t>Le jugement attaqué sera donc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C/208/2015 PAR CES MOTIFS, La Chambre des baux et loyers : A la forme : Déclare recevable l'appel interjeté le 10 août 2015 par A______ et B______, en liquidation contre le jugement JTBL/857/2015 rendu le 23 juillet 2015 par le Tribunal des baux et loyers dans la cause C/208/2015-8 SE. Au fond : Confirme le jugement attaqué.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