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ACJC/1508/2022 vom 23. November 2022</w:t>
      </w:r>
    </w:p>
    <w:p>
      <w:r>
        <w:t>GE Cour de justice, 2022-11-23, FR</w:t>
      </w:r>
    </w:p>
    <w:p>
      <w:r>
        <w:rPr>
          <w:b/>
        </w:rPr>
        <w:t xml:space="preserve">Quelle: </w:t>
      </w:r>
      <w:r>
        <w:t>https://mcp.opencaselaw.ch/entscheid/ge_gerichte_ACJC_1508_2022</w:t>
      </w:r>
    </w:p>
    <w:p>
      <w:r>
        <w:t>FR: GE_GERICHTE ACJC/1508/2022 du 23 novembre 2022</w:t>
      </w:r>
    </w:p>
    <w:p>
      <w:r>
        <w:t>IT: GE_GERICHTE ACJC/1508/2022 del 23 novembre 2022</w:t>
      </w:r>
    </w:p>
    <w:p>
      <w:pPr>
        <w:pStyle w:val="Heading2"/>
      </w:pPr>
      <w:r>
        <w:t>Erwägungen</w:t>
      </w:r>
    </w:p>
    <w:p>
      <w:r>
        <w:rPr>
          <w:b/>
        </w:rPr>
        <w:t>E. 1.1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w:t>
      </w:r>
    </w:p>
    <w:p>
      <w:r>
        <w:rPr>
          <w:b/>
        </w:rPr>
        <w:t>E. 1.2</w:t>
      </w:r>
    </w:p>
    <w:p>
      <w:r>
        <w:t>L'intimée invoque néanmoins l'irrecevabilité de la conclusion n° 4 de l'appelante, qui serait nouvelle.</w:t>
      </w:r>
    </w:p>
    <w:p>
      <w:r>
        <w:rPr>
          <w:b/>
        </w:rPr>
        <w:t>E. 1.2.1</w:t>
      </w:r>
    </w:p>
    <w:p>
      <w:r>
        <w:t>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w:t>
      </w:r>
    </w:p>
    <w:p>
      <w:r>
        <w:t>Le juge procède à l'interprétation objective des conclusions; il lui incombe de les interpréter selon les règles de la bonne foi, en particulier à la lumière de la motivation qui leur est donnée (ATF 105 II 149 consid. 2a ; arrêt du Tribunal fédéral 4A_312/2019 du 12 mai 2020 consid. 3.2).</w:t>
      </w:r>
    </w:p>
    <w:p>
      <w:r>
        <w:rPr>
          <w:b/>
        </w:rPr>
        <w:t>E. 1.2.2</w:t>
      </w:r>
    </w:p>
    <w:p>
      <w:r>
        <w:t>En l'espèce, les conclusions de la demande de l'intimée fixaient, en dernier lieu, à 20'773 fr. 40 le prix du stock des produits "A______" encore en sa possession. L'appelante a déterminé, dans sa réponse, à 80% du prix de ce stock le montant qu'elle était prête à payer, ce qui correspond à 16'617 fr. 70. Elle n'a cependant pas expressément articulé ce montant, même dans ses plaidoiries finales de première instance. Elle a ainsi formé une conclusion qui certes n'était pas expressément chiffrée, mais qui pouvait être aisément déterminée de bonne</w:t>
      </w:r>
    </w:p>
    <w:p>
      <w:r>
        <w:t>- 15/27 -</w:t>
      </w:r>
    </w:p>
    <w:p>
      <w:r>
        <w:t>C/24138/2018 foi, en particulier par l'intimée qui détenait le stock concerné et en connaissait la valeur.</w:t>
      </w:r>
    </w:p>
    <w:p>
      <w:r>
        <w:t>Par conséquent, la conclusion n° 4 de l'appel n'est pas nouvelle en ce qu'elle chiffre la prétention de l'appelante, mais correspond aux conclusions prises en première instance de manière recevable.</w:t>
      </w:r>
    </w:p>
    <w:p>
      <w:r>
        <w:t>De toute manière, l'appel étant rejeté sur ce point, cette question de recevabilité est sans incidence.</w:t>
      </w:r>
    </w:p>
    <w:p>
      <w:r>
        <w:rPr>
          <w:b/>
        </w:rPr>
        <w:t>E. 1.3</w:t>
      </w:r>
    </w:p>
    <w:p>
      <w:r>
        <w:t>L'appel peut être formé pour violation du droit (art. 310 let. a CPC) et constatation inexacte des faits (art. 310 let. b CPC).</w:t>
      </w:r>
    </w:p>
    <w:p>
      <w:r>
        <w:rPr>
          <w:b/>
        </w:rPr>
        <w:t>E. 1.4</w:t>
      </w:r>
    </w:p>
    <w:p>
      <w:r>
        <w:t>La juridiction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2</w:t>
      </w:r>
    </w:p>
    <w:p>
      <w:r>
        <w:t>Il n'est à juste titre pas contesté que les tribunaux genevois soient compétents et que le contrat conclu le 16 juillet 2019 soit soumis au droit suisse.</w:t>
      </w:r>
    </w:p>
    <w:p>
      <w:r>
        <w:t>La qualification du contrat entre les parties de contrat de distribution exclusive n'est de même pas contestée.</w:t>
      </w:r>
    </w:p>
    <w:p>
      <w:r>
        <w:rPr>
          <w:b/>
        </w:rPr>
        <w:t>E. 3</w:t>
      </w:r>
    </w:p>
    <w:p>
      <w:r>
        <w:t>L'appelante reproche au premier juge d'avoir considéré la résiliation du contrat de distribution comme injustifiée.</w:t>
      </w:r>
    </w:p>
    <w:p>
      <w:r>
        <w:t>En tous les cas et même si la résiliation devait être considérée comme injustifiée, le bénéfice de l'intimée n'avait pas été suffisamment établi et ne pouvait donc fonder une prétention indemnisable à ce titre.</w:t>
      </w:r>
    </w:p>
    <w:p>
      <w:r>
        <w:rPr>
          <w:b/>
        </w:rPr>
        <w:t>E. 3.1.1</w:t>
      </w:r>
    </w:p>
    <w:p>
      <w:r>
        <w:t>Selon un principe général, les contrats de durée peuvent être résiliés de façon anticipée par une partie lorsque de justes motifs rendent l'exécution du contrat intolérable pour elle (ATF 138 III 304 consid. 7; 133 III 360 consid. 8.1; 128 III 428 consid. 3; arrêt du Tribunal fédéral 4A_241/2017 du 31 août 2018 consid. 4.1).</w:t>
      </w:r>
    </w:p>
    <w:p>
      <w:r>
        <w:t>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128 III 248 consid. 3c; arrêt du Tribunal fédéral 4A_241/2017 du 31 août 2018 consid. 4.1). Des violations contractuelles spécialement graves fournissent généralement un juste motif de résiliation. Des</w:t>
      </w:r>
    </w:p>
    <w:p>
      <w:r>
        <w:t>- 16/27 -</w:t>
      </w:r>
    </w:p>
    <w:p>
      <w:r>
        <w:t>C/24138/2018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du 31 août 2018 consid. 4.1).</w:t>
      </w:r>
    </w:p>
    <w:p>
      <w:r>
        <w:t>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w:t>
      </w:r>
    </w:p>
    <w:p>
      <w:r>
        <w:rPr>
          <w:b/>
        </w:rPr>
        <w:t>E. 3.1.2</w:t>
      </w:r>
    </w:p>
    <w:p>
      <w:r>
        <w:t>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contractuels jusqu'à l'échéance ordinaire du contrat (ATF 138 I 113 consid. 6.3.1; 127 III 310 consid. 4b p. 315; arrêt du Tribunal fédéral 4A_236/2012 du 2 août 2012 consid. 2.4, in SJ 2013 I 65).</w:t>
      </w:r>
    </w:p>
    <w:p>
      <w:r>
        <w:rPr>
          <w:b/>
        </w:rPr>
        <w:t>E. 3.1.3</w:t>
      </w:r>
    </w:p>
    <w:p>
      <w:r>
        <w:t>Une résiliation pour juste motif d'un contrat de durée ne déploie ses effets que si elle est exercée conformément au droit. A défaut, elle ne déploie pas d'effets et les obligations contractuelles demeurent. Ainsi, une résiliation qui ne reposerait pas sur de justes motifs ne met pas fin au contrat, la partie victime de la résiliation injustifiée conservant la possibilité d'exiger l'exécution en nature de la prestation promise, et de faire usage des voies de droit prévues en cas d'inexécution (ATF 133 III 360 consid. 8.1.2; VENTURI-ZEN-RUFFINEN, La résiliation pour justes motifs des contrats de durée, SJ 2008 II pp. 1 ss, pp. 28 ss; VETTER / GUTZWILLER, Voraussetzungen und Rechtsfolgen der ausserordentlichen Beendigung von Dauerschuldverhältnissen, AJP 2010 pp. 699 ss, p. 709 s.).</w:t>
      </w:r>
    </w:p>
    <w:p>
      <w:r>
        <w:t>La partie lésée doit imputer sur son dommage les montants qu'elle a pu épargner grâce à l'extinction prématurée du contrat, ainsi que les gains réalisés ou auxquels elle a intentionnellement renoncé. Il convient de tenir compte de l'éventuelle faute concomitante de l'auteur de la résiliation (ATF 99 II 308 consid. 7 et 9; arrêt du Tribunal fédéral 4A_241/2017 du 31 août 2018 consid. 6.1).</w:t>
      </w:r>
    </w:p>
    <w:p>
      <w:r>
        <w:t>Selon l'art. 418r CO et le renvoi aux art. 337 et 337c CO, lorsque le contrat est résilié sans justes motifs, l'agent a droit à ce qu'il aurait gagné (revenu hypothétique) si le contrat avait pris fin à l’échéance du délai de congé (DREYER, Commentaire Romand - CO I, 3ème éd. 2021, n. 7 ad art. 418r CO).</w:t>
      </w:r>
    </w:p>
    <w:p>
      <w:r>
        <w:t>S'agissant du contrat de distribution exclusive, la question de savoir si une résiliation injustifiée entraîne la poursuite de la relation contractuelle ou si, en</w:t>
      </w:r>
    </w:p>
    <w:p>
      <w:r>
        <w:t>- 17/27 -</w:t>
      </w:r>
    </w:p>
    <w:p>
      <w:r>
        <w:t>C/24138/2018 vertu de l'application analogique de l'art. 418r CO qui renvoie aux dispositions sur le contrat de travail, le contrat se termine immédiatement nonobstant l'absence de justes motifs est disputée en doctrine (voir à ce sujet MIRFAKHRAEI, Les indemnités de fin de contrat dans le contrat de distribution exclusive, 2014, p. 226 et suivantes sur l'ensemble de la question ; VENTURI - ZEN-RUFFINEN, La résiliation pour juste motifs des contrats de durée, SJ 2008 p. 1, p. 33). La jurisprudence ancienne considère que le contrat ne se termine pas en l'absence de justes motifs (ATF 99 II 308 consid. 5).</w:t>
      </w:r>
    </w:p>
    <w:p>
      <w:r>
        <w:rPr>
          <w:b/>
        </w:rPr>
        <w:t>E. 3.1.4</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w:t>
      </w:r>
    </w:p>
    <w:p>
      <w:r>
        <w:t>- 18/27 -</w:t>
      </w:r>
    </w:p>
    <w:p>
      <w:r>
        <w:t>C/24138/2018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 arrêt du Tribunal fédéral 4A_254/2021 du 21 décembre 2021 consid. 5.2.2).</w:t>
      </w:r>
    </w:p>
    <w:p>
      <w:r>
        <w:rPr>
          <w:b/>
        </w:rPr>
        <w:t>E. 3.1.5</w:t>
      </w:r>
    </w:p>
    <w:p>
      <w:r>
        <w:t>Selon l'art. 42 al. 1 CO, applicable à la responsabilité contractuelle en vertu de l'art. 99 al. 3 CO,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w:t>
      </w:r>
    </w:p>
    <w:p>
      <w:r>
        <w:t>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rPr>
          <w:b/>
        </w:rPr>
        <w:t>E. 3.2</w:t>
      </w:r>
    </w:p>
    <w:p>
      <w:r>
        <w:t>S'agissant de la justification de la résiliation du contrat de distribution par l'appelante, celle-ci soutient que l'intimée n'avait fait aucun effort pour réduire le découvert entre février et juin 2018, raison pour laquelle elle avait été mise en</w:t>
      </w:r>
    </w:p>
    <w:p>
      <w:r>
        <w:t>- 19/27 -</w:t>
      </w:r>
    </w:p>
    <w:p>
      <w:r>
        <w:t>C/24138/2018 demeure le 22 juin 2018 avec une menace de résiliation pour le 31 juillet 2018, ce qui avait été parfaitement compris par l'intimée qui devait donc en subir les conséquences, soit une résiliation avec effet immédiat.</w:t>
      </w:r>
    </w:p>
    <w:p>
      <w:r>
        <w:t>Le contenu de la lettre de mise en demeure du 22 juin 2018 est univoque et signifie que l'intimée s'exposait à une résiliation du contrat si elle ne réglait pas son retard de paiement d'ici la fin du mois de juillet 2022. En outre, cette missive est conforme à la lettre du contrat qui permettait de fonder une résiliation immédiate sur un retard de paiement. Cela étant, ces deux textes ne peuvent pas être interprétés en faisant abstraction des autres circonstances d'espèce pour déterminer la volonté réelle des parties.</w:t>
      </w:r>
    </w:p>
    <w:p>
      <w:r>
        <w:t>L'appelante ne conteste pas que, pendant des années, elle a toléré que les paiements soient opérés avec des délais allant jusqu'à 120 jours, au lieu des 30prévus contractuellement. Sur ce point, le fait qu'elle ait décidé, à la suite d'un changement dans la direction de l'entreprise, de "serrer la vis", ne lui permet pas d'effacer son comportement adopté pendant aussi longtemps. Cette conclusion est renforcée par le fait que l'appelante a admis avoir discuté, de manière informelle dès février 2018, environ une fois par mois, de l'arriéré avec l'intimée, sans pour autant soutenir qu'elle l'aurait incitée ou obligée à se conformer aux délais de paiement prévus initialement. Elle a d'ailleurs accepté que toutes les factures en suspens ne soient pas réglées au 31 décembre 2018, en admettant dans l'accord du 19 février 2018 que subsiste un solde impayé à cette date de 30'000 fr.</w:t>
      </w:r>
    </w:p>
    <w:p>
      <w:r>
        <w:t>Dès ce moment et contrairement à ce que soutient l'appelante, l'intimée a substantiellement réduit sa dette auprès d'elle, puisque celle-ci est passée de plus de 73'000 fr. en février 2018 à environ 49'000 fr. en juin suivant. Ce comportement dénote ainsi une volonté de l'intimée de se conformer à l'accord intervenu, soit de réduire le déficit à 30'000 fr. à la fin de l'année. Comme le relève à juste titre le Tribunal, l'attitude des parties postérieure au courrier du 18 juin 2018 tend plutôt à conforter les allégués de l'intimée, soit que ce courrier n'était qu'une lettre pro forma envoyée à tous les distributeurs, mais qui ne devait pas être prise à la lettre dans son cas à elle. En effet, les parties ont toutes deux démontré leur confiance dans la poursuite de leurs relations contractuelles (poursuite des commandes, redéfinition du marché octroyé à l'intimée).</w:t>
      </w:r>
    </w:p>
    <w:p>
      <w:r>
        <w:t>L'appelante avait ainsi implicitement - en acceptant pendant des années des délais de paiement plus long - et explicitement - en octroyant un délai au 31 décembre 2018 à l'intimée pour régler les factures en suspens à concurrence d'un solde de 30'000 fr. - donné une autre portée aux clauses contractuelles sur les délais de paiement, ce qui avait été accepté par l'intimée. Les parties avaient ainsi conclu un accord dérogatoire sur l'exigibilité des créances. L'appelante ne pouvait donc pas revenir aussi soudainement sur cet engagement, dont il n'est pas plaidé qu'il aurait dû revêtir une forme particulière.</w:t>
      </w:r>
    </w:p>
    <w:p>
      <w:r>
        <w:t>- 20/27 -</w:t>
      </w:r>
    </w:p>
    <w:p>
      <w:r>
        <w:t>C/24138/2018</w:t>
      </w:r>
    </w:p>
    <w:p>
      <w:r>
        <w:t>Sur ce point, le prétendu accord oral de l'intimée, lors de la discussion téléphonique postérieure à la mise en demeure du 22 juin 2018 et initiée par celle- ci, à une réintroduction des délais de paiement et des sanctions initialement prévues dans le contrat n'est pas démontré. En l'absence d'éléments de preuves, il est exclu de retenir qu'elle aurait accepté un tel revirement de la position qui était la sienne à cette date. Ceci est confirmé par le courriel du 26 juin 2018 de l'intimée à l'appelante, dans lequel celle-là a expressément rappelé les termes de l'accord de février 2018.</w:t>
      </w:r>
    </w:p>
    <w:p>
      <w:r>
        <w:t>En résumé, les parties avaient conclu un accord dérogatoire permettant à l'intimée de payer partiellement les sommes ouvertes jusqu'au 31 décembre 2018. Cet accord liait l'appelante qui ne pouvait donc pas, unilatéralement, exiger un paiement immédiat. Il s'ensuit qu'en l'absence de retard de paiement la résiliation était dépourvue de justes motifs.</w:t>
      </w:r>
    </w:p>
    <w:p>
      <w:r>
        <w:t>La question de la validité de la résiliation pour le prochain terme n'a pas été examinée par le premier juge et peut demeurer ouverte, l'intimée ayant de toute manière limité ses prétentions jusqu'à cette échéance, ainsi qu'il va être vu ci- après.</w:t>
      </w:r>
    </w:p>
    <w:p>
      <w:r>
        <w:rPr>
          <w:b/>
        </w:rPr>
        <w:t>E. 3.3</w:t>
      </w:r>
    </w:p>
    <w:p>
      <w:r>
        <w:t>Se pose ensuite la question de l'indemnisation due à l'intimée pour la résiliation injustifiée : l'appelante considère que le bénéfice de l'intimée avait été insuffisamment démontré pour permettre de calculer le dommage.</w:t>
      </w:r>
    </w:p>
    <w:p>
      <w:r>
        <w:t>Sur ce point, le Tribunal a considéré que les chiffres allégués par l'intimée pour le calcul de son bénéfice étaient "vraisemblables" et avaient été confirmés par le comptable de l'intimée.</w:t>
      </w:r>
    </w:p>
    <w:p>
      <w:r>
        <w:t>Il peut être fait l'économie de trancher la question de savoir si le contrat s'est terminé immédiatement, malgré l'absence de justes motifs (solution retenue par le Tribunal), ou si les rapports contractuels ont subsisté, ce en référence à la controverse doctrinale en lien avec les effets d'une résiliation immédiate injustifiée. En effet, l'intimée a expressément limité ses prétentions à la réparation du dommage jusqu'à la prochaine échéance contractuelle (soit le 31 décembre 2018). Or, cette période aurait pu faire l'objet d'une demande d'indemnisation dans les deux cas de figure susévoqués, puisque, s'il fallait retenir que le contrat s'était terminé immédiatement, l'intimée pouvait prétendre à être indemnisée jusqu'à la prochaine échéance contractuelle (cf. art. 418r CO et le renvoi aux art. 337 et 337c CO) et, s'il fallait retenir que le contrat a subsisté, elle aurait au moins pu prétendre à l'indemnisation de son dommage jusqu'à cette échéance, voire même au-delà (art. 97 CO). Ainsi, le dommage réclamé était théoriquement indemnisable dans les deux cas de figure.</w:t>
      </w:r>
    </w:p>
    <w:p>
      <w:r>
        <w:rPr>
          <w:b/>
        </w:rPr>
        <w:t>E. 3.3.1</w:t>
      </w:r>
    </w:p>
    <w:p>
      <w:r>
        <w:t>En l'espèce et au stade de l'appel, l'intimée se prévaut de la tardiveté de la contestation du calcul de son bénéfice par l'appelante : l'appelante aurait formulé</w:t>
      </w:r>
    </w:p>
    <w:p>
      <w:r>
        <w:t>- 21/27 -</w:t>
      </w:r>
    </w:p>
    <w:p>
      <w:r>
        <w:t>C/24138/2018 une contestation trop générale dans sa réponse de première instance pour retenir que le calcul du bénéfice avait été valablement remis en cause.</w:t>
      </w:r>
    </w:p>
    <w:p>
      <w:r>
        <w:t>Or, l'appelante a expressément, dans sa réponse de première instance déjà, contesté la méthode d'établissement du bénéfice annuel net de l'intimée, en précisant que ce calcul "ne compren[ait] pas tous les frais qui [devaient] être déduits selon l'art. 418u CO". Il s'ensuit que la contestation était suffisamment claire pour être recevable et ne pouvait donc pas être assimilée à une admission des allégués de l'intimée concernant la quotité de son bénéfice net, en particulier l'imputation des charges, qui est problématique ici, ainsi qu'il va être vu (cf. consid. 3.3.2). L'intimée était donc en mesure de comprendre, dès l'entame de la procédure, que, selon l'appelante, sa méthode de calcul de son bénéfice et les pièces produites à cette fin n'étaient pas suffisamment complètes et que manquaient notamment des éléments concernant les charges.</w:t>
      </w:r>
    </w:p>
    <w:p>
      <w:r>
        <w:rPr>
          <w:b/>
        </w:rPr>
        <w:t>E. 3.3.2</w:t>
      </w:r>
    </w:p>
    <w:p>
      <w:r>
        <w:t>Pour le surplus, la critique de l'appelante concernant la preuve du bénéfice net est fondée, car l'intimée n'a apporté que des éléments lacunaires pour déterminer son bénéfice net qui devait servir de base au calcul de la réparation de son dommage à la suite de la résiliation injustifiée du contrat de distribution.</w:t>
      </w:r>
    </w:p>
    <w:p>
      <w:r>
        <w:t>En effet, l'intimée devait démontrer son bénéfice net afin d'estimer ses gains prévisibles et dont elle avait été privée par la cessation immédiate et indue des rapports contractuels. Si le prix payé par l'intimée à l'appelante pour les marchandises, ainsi que les montants des ventes aux clients finaux, sont prouvés, il s'agissait encore pour l'intimée d'apporter les pièces permettant de définir son bénéfice net, soit le produit de son activité après déduction de toutes les charges applicables. Une estimation des charges, comme y a procédé l'intimée, n'était pas admissible, car la preuve stricte pouvait être exigée.</w:t>
      </w:r>
    </w:p>
    <w:p>
      <w:r>
        <w:t>La ventilation des charges de fonctionnement de l'intimée entre les différents produits qu'elle distribuait aurait pu faire l'objet d'une estimation en fonction des volumes de vente desdits produits, mais encore eût-il fallu que les charges soient démontrées, ce qui n'est pas le cas ici. Ainsi, une estimation était exclue.</w:t>
      </w:r>
    </w:p>
    <w:p>
      <w:r>
        <w:t>L'intimée n'a ainsi pas allégué ni fourni les preuves des charges usuelles supportées : le loyer, les taxes et impôts, les charges sur salaire, les assurances, les frais de transport, etc. Elle s'est bornée à une vague estimation s'élevant à 15% et à des montants relatifs aux charges qui ne sont ni compréhensibles, ni démontrés. Le bénéfice qu'elle allègue apparaît ainsi trop élevé, puisqu'il devrait encore être réduit en fonction des charges usuelles susmentionnées. N'ayant pas allégué, ni prouvé par pièces les montants de ses charges, l'appelante a ainsi échoué à fournir les données nécessaires au calcul de son bénéfice net. La déposition de son comptable (en fonction depuis mars 2021) ne lui est d'aucun secours, puisque celui-ci paraît être intervenu davantage comme une sorte d'expert, voire de témoin-expert (art. 175 CPC) pour valider les conclusions de l'intimée et le travail</w:t>
      </w:r>
    </w:p>
    <w:p>
      <w:r>
        <w:t>- 22/27 -</w:t>
      </w:r>
    </w:p>
    <w:p>
      <w:r>
        <w:t>C/24138/2018 des comptables ayant géré la comptabilité de l'intimée précédemment à son entrée en fonction et dont l'audition n'a pas pu être effectuée. Le nouveau comptable n'a ainsi pas été entendu comme un témoin dont le témoignage pourrait constituer une preuve des charges de fonctionnement de l'intimée et de leur quotité. D'ailleurs, il n'est pas concevable de prouver par des témoignages dites charges, puisqu'il est impossible qu'un témoin se souvienne, encore moins lorsqu'il ne faisait pas partie de l'entreprise durant l'époque pertinente, des montants exacts au fil des ans.</w:t>
      </w:r>
    </w:p>
    <w:p>
      <w:r>
        <w:t>Aucun état de nécessité en matière de preuve n'est plaidé. Il serait de toute manière peu crédible pour l'intimée de soutenir qu'elle ignorait ses charges de fonctionnement ou ne pouvait pas obtenir les pièces correspondantes.</w:t>
      </w:r>
    </w:p>
    <w:p>
      <w:r>
        <w:t>Par conséquent, il n'existe aucune "Beweisnot" pouvant justifier l'application de l'art. 42 al. 2 CO. Les conditions d'une estimation de ce bénéfice par le juge ne sont donc pas réunies, de sorte que, même si l'existence d'un bénéfice pourrait paraître probable ou vraisemblable, il est insuffisamment démontré pour être indemnisé.</w:t>
      </w:r>
    </w:p>
    <w:p>
      <w:r>
        <w:t>Par conséquent, l'intimée a échoué à apporter la preuve de son dommage.</w:t>
      </w:r>
    </w:p>
    <w:p>
      <w:r>
        <w:t>L'appel sera donc admis sur ce point, le chiffre 1 du dispositif du jugement annulé et l'intimée déboutée de ses prétentions en indemnisation de la perte de bénéfice subie, soit sa conclusion en paiement de 31'131.55 EUR avec intérêts à 5 % dès le 15 août 2018.</w:t>
      </w:r>
    </w:p>
    <w:p>
      <w:r>
        <w:rPr>
          <w:b/>
        </w:rPr>
        <w:t>E. 4</w:t>
      </w:r>
    </w:p>
    <w:p>
      <w:r>
        <w:t>L'appelante considère que le premier juge a retenu à tort que les conditions d'une indemnité de clientèle en faveur de l'intimée étaient réunies.</w:t>
      </w:r>
    </w:p>
    <w:p>
      <w:r>
        <w:rPr>
          <w:b/>
        </w:rPr>
        <w:t>E. 4.1.1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w:t>
      </w:r>
    </w:p>
    <w:p>
      <w:r>
        <w:t>L'indemnité pour la clientèle ne constitue pas une rémunération supplémentaire pour des prestations fournies par l'agent en cours de contrat, mais elle représente une compensation de la valeur commerciale dont le mandant peut continuer à profiter après la fin du contrat. Il s'agit non pas d'indemniser l'agent, c'est-à-dire de réparer un dommage qu'il subit, mais de lui fournir une contre-prestation pour le</w:t>
      </w:r>
    </w:p>
    <w:p>
      <w:r>
        <w:t>- 23/27 -</w:t>
      </w:r>
    </w:p>
    <w:p>
      <w:r>
        <w:t>C/24138/2018 profit que le mandant réalise, même après la fin du contrat d'agence, du fait que le nombre de ses clients a augmenté grâce à l'activité de l'agent (ATF 134 III 497 consid. 4.1; arrêt du Tribunal fédéral 4A_544/2015 du 17 mars 2016 consid. 4.1).</w:t>
      </w:r>
    </w:p>
    <w:p>
      <w:r>
        <w:t>L'octroi d'une indemnité pour la clientèle est subordonné à trois conditions cumulatives: (1) l'augmentation sensible du nombre des clients; (2) le profit effectif en résultant pour le mandant ou son ayant cause; (3) le caractère non inéquitable d'une telle attribution (ATF 134 III 497 consid. 4.1). Il appartient à l'agent d'établir la réalisation des deux premières conditions (ATF 103 II 277 consid. 2), ainsi que son gain annuel net (DREYER, op. cit., n. 15 ad art. 418u CO). En revanche, c'est au mandant qu'il incombe de prouver que l'indemnité est inéquitable ou qu'elle doit être réduite par rapport au gain annuel de l'agent (ATF 134 III 497 consid. 4.1 ; arrêt du Tribunal fédéral 4A_71/2019 du 8 octobre 2019 consid. 4.1.2).</w:t>
      </w:r>
    </w:p>
    <w:p>
      <w:r>
        <w:t>Le critère de l'équité intervient non seulement pour décider d'allouer une indemnité de clientèle, mais aussi pour fixer son étendue (ATF 110 II 476 consid. 3e; arrêt du Tribunal fédéral 4A_544/2015 du 17 mars 2016 consid. 4.1). L'octroi d'une indemnité de clientèle apparaît ainsi inéquitable si l'agent a déjà été suffisamment rémunéré pour ses prestations. Tel peut être le cas lorsque l'agent a touché des provisions particulièrement élevées ou bénéficie d'avantages comme l'affiliation à une caisse de prévoyance (ATF 110 II 476 consid. 3a; 103 II 277 consid. 5). Le Tribunal fédéral a ainsi refusé une indemnité de clientèle à un agent parce que la valeur capitalisée de la rente de vieillesse financée essentiellement par le mandant dépassait le montant réclamé sur la base de l'art. 418u al. 1 CO (ATF 110 II 476). La longue durée du contrat d'agence est aussi un facteur dont il faut tenir compte (ATF 110 II 476 consid. 3a; 103 II 277 consid. 5).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4C_218/2005 du 3 avril 2006 consid. 6.2).</w:t>
      </w:r>
    </w:p>
    <w:p>
      <w:r>
        <w:rPr>
          <w:b/>
        </w:rPr>
        <w:t>E. 4.1.2</w:t>
      </w:r>
    </w:p>
    <w:p>
      <w:r>
        <w:t>L'art. 418u CO s'inscrit dans le cadre des règles relatives au contrat d'agence (art. 418a ss CO), qui se distingue du contrat de représentation (de distribution) exclusive, ici à l'origine du litige, qui ne fait l'objet d'aucune réglementation légale. Le Tribunal fédéral a toutefois déjà eu l'occasion d'indiquer que le législateur fédéral, en s'abstenant d'édicter des dispositions topiques au sujet du contrat de représentation exclusive, n'a pas écarté consciemment l'idée d'octroyer une indemnité pour la clientèle au concessionnaire. Il ne s'agit donc pas d'un silence qualifié, mais d'une lacune proprement dite de la loi, qu'il convient de combler en appliquant l'art. 418u CO. Cette dernière disposition légale s'applique</w:t>
      </w:r>
    </w:p>
    <w:p>
      <w:r>
        <w:t>- 24/27 -</w:t>
      </w:r>
    </w:p>
    <w:p>
      <w:r>
        <w:t>C/24138/2018 par analogie au distributeur exclusif lorsque, en tenant compte de toutes les circonstances du cas concret, sa situation est économiquement comparable à celle de l'agent (ATF 134 III 497 consid. 4.3 ; arrêt du Tribunal fédéral 4A_71/2019 du</w:t>
      </w:r>
    </w:p>
    <w:p>
      <w:r>
        <w:rPr>
          <w:b/>
        </w:rPr>
        <w:t>E. 4.2</w:t>
      </w:r>
    </w:p>
    <w:p>
      <w:r>
        <w:t>En l'espèce, l'appelante ne conteste pas l'application de l'art. 418u CO au cas d'espèce, ni d'ailleurs que sa clientèle a augmenté dans le marché considéré pendant la durée du contrat.</w:t>
      </w:r>
    </w:p>
    <w:p>
      <w:r>
        <w:t>L'appelante reproche cependant au premier juge, dans le même ordre d'idée que ce qui a été évoqué au consid. 3.3 supra, d'avoir admis que l'intimée avait établi son bénéfice annuel, préalable nécessaire au calcul de l'indemnité de clientèle. Par renvoi avec ce qui a été développé dans ce considérant, son grief doit être admis : l'intimée a échoué à démontrer son gain annuel, plaçant ainsi l'appelante dans l'impossibilité de démontrer à son tour que l'indemnité serait inéquitable par rapport au bénéfice réalisé. L'intimée, qui supportait le fardeau de la preuve du gain annuel, n'a donc pas apporté cette preuve, en ne fournissant que des approximations insuffisantes. L'une des conditions à l'octroi d'une indemnité de clientèle n'est pas donnée.</w:t>
      </w:r>
    </w:p>
    <w:p>
      <w:r>
        <w:t>Le chiffre 2 du dispositif du jugement sera annulé et l'intimée déboutée de ses prétentions en paiement d'une indemnité de clientèle, soit la somme de 78'097.20 EUR avec intérêts à 5 % dès le 15 août 2018 à laquelle elle avait conclu dans sa demande en paiement. 5. Enfin, l'appelante reproche au premier juge de l'avoir contrainte à reprendre les produits détenus par l'intimée en échange du prix de vente intégral et non à 80% de celui-ci.</w:t>
      </w:r>
    </w:p>
    <w:p>
      <w:r>
        <w:t>Les parties ne contestent pas que le stock de produits en mains de l'intimée ne doit pas être revendu par elle à des clients, mais remis à l'appelante. Il ne sera donc pas revenu sur ce point, seul le montant à payer étant litigieux.</w:t>
      </w:r>
    </w:p>
    <w:p>
      <w:r>
        <w:t>Dès lors qu'il a été retenu ci-dessus (consid. 2.2) que la résiliation immédiate était injustifiée, les conditions contractuelles à une reprise de la marchandise à un montant représentant le 80% de leur prix d'achat ne sont pas réalisées (art. 6.02 du contrat). Il est donc conforme au droit que l'appelante rachète les produits au prix payé par l'intimée, frais de transport en sus.</w:t>
      </w:r>
    </w:p>
    <w:p>
      <w:r>
        <w:t>Les griefs de l'appelante sur ce point seront rejetés. Le chiffre 4 du dispositif du jugement entrepris sera donc confirmé en ce qu'il condamne l'appelante à restituer à l'intimée le stock de produits "A______" d'une valeur de 20'773 fr. 40 en échange du paiement de 20'773 fr. 40 et de 428 fr. 6. 6.1 Lorsque la Cour statue à nouveau, elle se prononce sur les frais de la première instance (art. 318 al. 3 CPC). Les frais sont mis à la charge de la partie qui</w:t>
      </w:r>
    </w:p>
    <w:p>
      <w:r>
        <w:t>- 25/27 -</w:t>
      </w:r>
    </w:p>
    <w:p>
      <w:r>
        <w:t>C/24138/2018 succombe (art. 106 al. 1 CPC). Lorsqu'aucune des parties n'obtient entièrement gain de cause, les frais sont répartis selon le sort de la cause (art. 106 al. 2 CPC).</w:t>
      </w:r>
    </w:p>
    <w:p>
      <w:r>
        <w:t>En l'espèce, la quotité des frais judiciaires de première instance, soit 13'760 fr. au total, n'a pas été remise en cause en appel et ceux-ci ont été arrêtés conformément aux règles légales (art. 95, 96 104 al. 1 CPC; art. 15, 17, 20 et 24 RTFMC).</w:t>
      </w:r>
    </w:p>
    <w:p>
      <w:r>
        <w:t>6.2 Au vu de l'issue de l'appel, l'intimée, demanderesse principale en première instance, succombe pour l'essentiel dans ses conclusions, excepté sur la question du prix de reprise des marchandises, alors que l'appelante obtient gain de cause sur ses prétentions reconventionnelles, le jugement de première instance n'étant pas remis en cause sur ce point.</w:t>
      </w:r>
    </w:p>
    <w:p>
      <w:r>
        <w:t>L'intimée sera donc condamnée à supporter les 9/10ème des frais judiciaires de première instance, soit 12'384 fr., l'appelante prenant en charge le solde de 1'376 fr.</w:t>
      </w:r>
    </w:p>
    <w:p>
      <w:r>
        <w:t>Etant donné que l'avance de frais judiciaires de première instance fournie par l'intimée s'élève à 11'284 fr. 75 et celle de l'appelante à 3'580 fr., l'intimée sera condamnée à verser 1'099 fr. 25 à l'appelante à titre de remboursement des frais judiciaires de première instance. Les avances de frais resteront acquises à l'Etat de Genève à concurrence de 13'760 fr. Le solde de 1'104 fr. 75 sera restitué à l'appelante.</w:t>
      </w:r>
    </w:p>
    <w:p>
      <w:r>
        <w:t>S'agissant des dépens de première instance, qui n'ont pas été expressément fixés de manière distincte pour la demande principale et pour la demande reconventionnelle par le premier juge, ils seront arrêtés à 12'700 fr. pour la demande principale et mis à la charge de l'intimée à concurrence des 9/10ème, soit 11'500 fr., montant que l'intimée sera condamnée à verser à l'appelante, et à 6'640 fr. pour la demande reconventionnelle, et également mis à la charge de l'intimée, qui sera condamnée à verser le montant total de 18'140 fr. à l'appelante (art. 85 RTFMC).</w:t>
      </w:r>
    </w:p>
    <w:p>
      <w:r>
        <w:t>6.3 Concernant les frais judiciaires d'appel, ils seront arrêtés à 5'000 fr., compensés avec l'avance versée par l'appelante qui restera acquise à l'Etat de Genève et mis à la charge de l'intimée à raison de 4'500 fr. et de l'appelante à raison de 500 fr. au vu du résultat de la procédure d'appel et des montants concernés. L'intimée sera donc condamnée à verser à l'appelante 4'500 fr. à titre de remboursement des frais judiciaires d'appel.</w:t>
      </w:r>
    </w:p>
    <w:p>
      <w:r>
        <w:t>Les dépens d'appel seront arrêtés à 4'500 fr. (art. 85 al. 1 et 90 RTFMC) et alloués à l'appelante à raison de 4'050 fr. * * * * *</w:t>
      </w:r>
    </w:p>
    <w:p>
      <w:r>
        <w:t>- 26/27 -</w:t>
      </w:r>
    </w:p>
    <w:p>
      <w:r>
        <w:t>C/24138/2018</w:t>
      </w:r>
    </w:p>
    <w:p>
      <w:r>
        <w:t>PAR CES MOTIFS, La Chambre civile : A la forme : Déclare recevable l'appel interjeté par A______ SA le 25 février 2022 contre le jugement JTPI/675/2022 rendu le 19 janvier 2022 par le Tribunal de première instance dans la cause C/24138/2018. Au fond : Annule les chiffres 1, 2 et 5 à 9 du dispositif du jugement entrepris, cela fait statuant à nouveau : Déboute SPRL B______ de ses conclusions en paiement de dommages-intérêts pour résiliation injustifiée du contrat de distribution conclu le 16 juillet 2009 et d'une indemnité de clientèle. Arrête les frais judiciaires de première instance à 13'760 fr., les met à la charge de SPRL B______ à raison de 12'384 fr. et de A______ SA à raison de 1'376 fr. et les compense avec l'avance de frais versée par SPRL B______ en 11'284 fr. 75 et à concurrence de 2'475 fr. 25 avec l'avance de frais de 3'580 fr. versée par A______ SA, lesquelles demeurent acquises à l'Etat de Genève dans cette mesure. Condamne SPRL B______ à verser 1'099 fr. 25 à A______ SA à titre de remboursement des frais judiciaires de première instance. Invite les Services financiers du Pouvoir judiciaire à restituer 1'104 fr. 75 à A______ SA. Condamne SPRL B______ à verser 18'140 fr. à A______ SA à titre de dépens de première instance.</w:t>
      </w:r>
    </w:p>
    <w:p>
      <w:r>
        <w:t>Confirme pour le surplus le jugement entrepris. Déboute les parties de toutes autres conclusions. Sur les frais : Arrête les frais judiciaires d'appel à 5'000 fr., les met à la charge de SPRL B______ à raison de 4'500 fr. et de A______ SA à raison de 500 fr. et les compense avec l'avance de frais versée par A______ SA qui demeure acquise à l'Etat de Genève.</w:t>
      </w:r>
    </w:p>
    <w:p>
      <w:r>
        <w:t>- 27/27 -</w:t>
      </w:r>
    </w:p>
    <w:p>
      <w:r>
        <w:t>C/24138/2018 Condamne SPRL B______ à verser à A______ SA 4'500 fr. au titre de remboursement des frais judiciaires d'appel. Condamne SPRL B______ à verser 4'050 fr. à A______ SA à titre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octobre 2019 consid.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