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ACJC/1507/2025 vom 28. September 2025</w:t>
      </w:r>
    </w:p>
    <w:p>
      <w:r>
        <w:t>GE Cour de justice, 2025-09-28, FR</w:t>
      </w:r>
    </w:p>
    <w:p>
      <w:r>
        <w:rPr>
          <w:b/>
        </w:rPr>
        <w:t xml:space="preserve">Quelle: </w:t>
      </w:r>
      <w:r>
        <w:t>https://mcp.opencaselaw.ch/entscheid/ge_gerichte_ACJC_1507_2025</w:t>
      </w:r>
    </w:p>
    <w:p>
      <w:r>
        <w:t>FR: GE_GERICHTE ACJC/1507/2025 du 28 septembre 2025</w:t>
      </w:r>
    </w:p>
    <w:p>
      <w:r>
        <w:t>IT: GE_GERICHTE ACJC/1507/2025 del 28 settembre 2025</w:t>
      </w:r>
    </w:p>
    <w:p>
      <w:pPr>
        <w:pStyle w:val="Heading2"/>
      </w:pPr>
      <w:r>
        <w:t>Erwägungen</w:t>
      </w:r>
    </w:p>
    <w:p>
      <w:r>
        <w:rPr>
          <w:b/>
        </w:rPr>
        <w:t>E. 1.1</w:t>
      </w:r>
    </w:p>
    <w:p>
      <w:r>
        <w:t>La présente procédure de recours est régie par le CPC dans sa version révisée, entrée en vigueur le 1er janvier 2025, dès lors que le jugement attaqué a été communiqué aux parties après cette date (art. 405 al. 1 CPC).</w:t>
      </w:r>
    </w:p>
    <w:p>
      <w:r>
        <w:rPr>
          <w:b/>
        </w:rPr>
        <w:t>E. 1.2</w:t>
      </w:r>
    </w:p>
    <w:p>
      <w:r>
        <w:t>Seule la voie du recours est ouverte en matière de mainlevée d'opposition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1.3</w:t>
      </w:r>
    </w:p>
    <w:p>
      <w:r>
        <w:t>Le recours peut être formé pour violation du droit (art. 320 al. 1 CPC) et constatation manifestement inexacte des faits (art. 320 al. 2 CPC). La constatation manifestement inexacte des faits équivaut à l'arbitraire. La constatation des faits ou l'appréciation des preuves est arbitraire lorsque l'autorité ne prend pas en compte, sans aucune raison sérieuse, un élément de preuve propre</w:t>
      </w:r>
    </w:p>
    <w:p>
      <w:r>
        <w:t>- 6/10 -</w:t>
      </w:r>
    </w:p>
    <w:p>
      <w:r>
        <w:t>C/27579/2024 à modifier la décision, lorsqu'elle se trompe manifestement sur son sens et sa portée, ou encore lorsque, en se fondant sur les éléments recueillis, elle en tire des constatations insoutenables (ATF 140 III 264 consid. 2.3; 137 III 226 consid. 4.2).</w:t>
      </w:r>
    </w:p>
    <w:p>
      <w:r>
        <w:rPr>
          <w:b/>
        </w:rPr>
        <w:t>E. 1.4</w:t>
      </w:r>
    </w:p>
    <w:p>
      <w:r>
        <w:t>Le recours étant instruit en procédure sommaire, la preuve des faits allégués doit être apportée par titres (art. 254 CPC; cf. infra consid. 2.1.1) et les maximes des débats et de disposition sont applicables (art. 55 al. 1, 58 al. 1 et 255 let. a a contrario CPC).</w:t>
      </w:r>
    </w:p>
    <w:p>
      <w:r>
        <w:rPr>
          <w:b/>
        </w:rPr>
        <w:t>E. 1.5</w:t>
      </w:r>
    </w:p>
    <w:p>
      <w:r>
        <w:t>La procédure de mainlevée définitive ou provisoire est une procédure sur pièces ("Urkundenprozess") (art. 254 al. 1 CPC) dont l'objet est l'existence d'un titre exécutoire. Le poursuivant peut se borner à produire un tel titre : l'examen du contenu de ce document, de son origine et de ses caractéristiques extérieures suffit pour conduire au prononcé de la mainlevée. C'est également par titres que le poursuivi peut et doit prouver ou rendre vraisemblables ses moyens libératoires. La preuve de l'existence d'un titre de mainlevée définitive ou provisoire ne peut que résulter d'un titre au sens étroit, à savoir un écrit; il en va de même pour les moyens de défense dans la mainlevée définitive (ABBET/VEUILLET, La mainlevée de l'opposition, 2022, n. 58 ad art. 84 LP).</w:t>
      </w:r>
    </w:p>
    <w:p>
      <w:r>
        <w:rPr>
          <w:b/>
        </w:rPr>
        <w:t>E. 1.6</w:t>
      </w:r>
    </w:p>
    <w:p>
      <w:r>
        <w:t>Conformément à l'art. 326 al. 1 CPC, la pièce nouvellement produite par les recourantes est irrecevable, ainsi que les allégués de fait s’y rapportant.</w:t>
      </w:r>
    </w:p>
    <w:p>
      <w:r>
        <w:rPr>
          <w:b/>
        </w:rPr>
        <w:t>E. 2</w:t>
      </w:r>
    </w:p>
    <w:p>
      <w:r>
        <w:t>Les recourantes reprochent au Tribunal de ne pas avoir prononcé la mainlevée définitive de l’opposition formée au commandement de payer.</w:t>
      </w:r>
    </w:p>
    <w:p>
      <w:r>
        <w:rPr>
          <w:b/>
        </w:rPr>
        <w:t>E. 2.1</w:t>
      </w:r>
    </w:p>
    <w:p>
      <w:r>
        <w:t>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2.2.1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2.2.2 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(ATF 142 III 720 consid. 4.1; 139 III 444 consid. 4.1.1). En principe, la mainlevée ne peut être prononcée que contre la personne que le jugement désigne comme débitrice, principe qui connaît toutefois quelques</w:t>
      </w:r>
    </w:p>
    <w:p>
      <w:r>
        <w:t>- 7/10 -</w:t>
      </w:r>
    </w:p>
    <w:p>
      <w:r>
        <w:t>C/27579/2024 exceptions (ABBET/VEUILLET, op. cit., n. 84 ad art. 80 LP). Tel est notamment le cas de la reprise de dette (art. 175 ss CO) qui doit permettre la mainlevée contre le reprenant sur la base du jugement prononcé à l’encontre du débiteur si le créancier peut démontrer immédiatement par titre la qualité de reprenant du poursuivi (ABBET/VEUILLET, op. cit., n. 86 ad art. 80 LP).</w:t>
      </w:r>
    </w:p>
    <w:p>
      <w:r>
        <w:rPr>
          <w:b/>
        </w:rPr>
        <w:t>E. 2.3</w:t>
      </w:r>
    </w:p>
    <w:p>
      <w:r>
        <w:t>Celui qui acquiert un patrimoine ou une entreprise avec actif et passif devient responsable des dettes envers les créanciers, dès que l’acquisition a été portée par lui à leur connaissance ou qu’il l’a publiée dans les journaux (art. 181 al. 1 CO). 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3 octobre 2003 sur la fusion (LFus) (art. 181 al. 4 CO).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(art. 69 al. 1 LFus). Ce transfert nécessité un contrat de transfert (art. 70 ss LFus) et une inscription de ce transfert de patrimoine au registre du commerce (art. 73 al. 1 LFus). Selon la doctrine, le transfert de patrimoine peut porter tant sur des éléments de l’actif que sur des passifs, lesquels comprennent les dettes, les charges et certaines obligations de fournir une prestation personnelle (BAHAR, Commentaire LFus, 2005, n. 5 ad art. 69 LFus). Les effets du transfert de patrimoine se produisent dès l’inscription de celui-ci au registre du commerce (art. 73 al. 2 1ère phr. LFus) et consistent en une succession universelle partielle (arrêt du Tribunal fédéral 4A_601/2019 du 25 novembre 2020 consid. 3.1 ; 4A_130/2015 du 2 septembre 2015 consid. 3.1).</w:t>
      </w:r>
    </w:p>
    <w:p>
      <w:r>
        <w:rPr>
          <w:b/>
        </w:rPr>
        <w:t>E. 2.4</w:t>
      </w:r>
    </w:p>
    <w:p>
      <w:r>
        <w:t>En l’espèce, les recourantes font grief au Tribunal d’avoir constaté les faits de manière manifestement inexacte, en retenant, d’une part, qu’il n’y avait pas d’identité entre poursuivi et débiteur, et, en omettant, d’autre part, de retenir qu’une reprise de dette valable était intervenue entre P______ et CENTRE N______ DE O______ SA. En réalité, les recourantes se plaignent d'une mauvaise appréciation des preuves, grief qui sera examiné ci-après. Il est constant que l’intimée a repris le passif de l’entreprise individuelle P______, selon contrat du 28 décembre 2017. Il n’est pas contesté que le Tribunal arbitral des assurances a, par arrêt du 21 décembre 2022, définitif et exécutoire, condamné le précité à verser aux recourantes un montant total de 260'106 fr. Les recourantes</w:t>
      </w:r>
    </w:p>
    <w:p>
      <w:r>
        <w:t>- 8/10 -</w:t>
      </w:r>
    </w:p>
    <w:p>
      <w:r>
        <w:t>C/27579/2024 ont dirigé leur demande contre P______ et non contre l’intimée. Elles n’ont pas, en cours de procédure arbitrale, requis la constatation de la substitution de parties, du fait de la reprise des actifs et passifs de l’entreprise individuelle par l’intimée. Elles ont fait notifier à l’intimée un commandement de payer et se sont prévalues, comme titre de la créance, de l’arrêt rendu par le Tribunal arbitral précité. Il n’existe ainsi, à ce stade, pas d’identité entre le débiteur mentionné dans le titre (P______) et le débiteur poursuivi (l’intimée). Il convient donc d’examiner si, comme le soutiennent les recourantes, une reprise de dettes, du fait du transfert des passifs de P______ à l’intimée, serait intervenue postérieurement à l’ouverture de la procédure arbitrale. Selon l’arrêt rendu par le Tribunal arbitral des assurances, les recourantes ont saisi ledit Tribunal le 13 juillet 2018, soit après la reprise des passifs par l’intimée, intervenue en décembre 2017. Cette reprise de dette est donc intervenue antérieurement et non pas postérieurement à la saisine du Tribunal arbitral. Par ailleurs, les dettes issues de l’arrêt précité n’étaient pas établies au 28 décembre 2017, de sorte qu’en tout état elles ne pouvaient pas être reprises, à cette date, par l’intimée. Le commandement de payer fait mention de l’intimée à titre de poursuivie, et non de P______. Par conséquent, c’est à bon droit que le Tribunal a considéré qu’il n’y avait pas d’identité entre le poursuivi et le débiteur mentionné dans le titre de mainlevée.</w:t>
      </w:r>
    </w:p>
    <w:p>
      <w:r>
        <w:rPr>
          <w:b/>
        </w:rPr>
        <w:t>E. 2.5</w:t>
      </w:r>
    </w:p>
    <w:p>
      <w:r>
        <w:t>Infondé, le recours sera dès lors rejeté.</w:t>
      </w:r>
    </w:p>
    <w:p>
      <w:r>
        <w:rPr>
          <w:b/>
        </w:rPr>
        <w:t>E. 3.1</w:t>
      </w:r>
    </w:p>
    <w:p>
      <w:r>
        <w:t>Les recourantes qui succombent, seront condamnées, solidairement entre elles, aux frais du recours (art. 106 al. 1 et 3 CPC). En vertu de l'art. 61 al. 1 OELP, la juridiction supérieure à laquelle sont déférées les décisions rendues dans une procédure sommaire en matière de poursuite peut prélever un émolument n'excédant pas une fois et demie l'émolument que peut prélever l'autorité de première instance. Le premier juge a fixé l'émolument de première instance - non contesté - à 750 fr. Partant, l'émolument de la présente décision sera fixé à 1’125 fr. et compensé avec l'avance de frais du même montant fournie, acquise à l'Etat de Genève (art. 111 al. 1 CPC).</w:t>
      </w:r>
    </w:p>
    <w:p>
      <w:r>
        <w:rPr>
          <w:b/>
        </w:rPr>
        <w:t>E. 3.2</w:t>
      </w:r>
    </w:p>
    <w:p>
      <w:r>
        <w:t>Les recourantes seront, en outre, solidairement entre elles, condamnées à verser à l'intimée un montant de 2'000 fr. à titre de dépens de recours, débours et TVA compris (art. 84, 85, 89 et 90 RTFMC). * * * * *</w:t>
      </w:r>
    </w:p>
    <w:p>
      <w:r>
        <w:t>- 9/10 -</w:t>
      </w:r>
    </w:p>
    <w:p>
      <w:r>
        <w:t>C/27579/2024 PAR CES MOTIFS, La Chambre civile : A la forme : Déclare recevable le recours interjeté par A______, B______, D______, E______, F______, G______, H______, C______, I______, J______, K______, L______ et M______ contre le jugement JTPI/8008/2025 rendu le 26 juin 2025 par le Tribunal de première instance dans la cause C/27579/2024–23 SML. Au fond : Le rejette. Déboute les parties de toutes autres conclusions. Sur les frais : Arrête les frais judiciaires du recours à 1'125 fr., compensés avec l’avance de frais fournie, acquise à l’Etat de Genève, et les met à la charge de A______, B______, D______, E______, F______, G______, H______, C______, I______, J______, K______, L______ et M______, solidairement entre elles. Condamne A______, B______, D______, E______, F______, G______, H______, C______, I______, J______, K______, L______ et M______, solidairement entre elles, à verser à CENTRE N______ DE O______ SA 2'000 fr. à titre de dépens de recours. Siégeant : Madame Pauline ERARD, présidente; Madame Sylvie DROIN, Madame Nathalie LANDRY-BARTHE, juges; Madame Marie-Pierre GROSJEAN, greffière.</w:t>
      </w:r>
    </w:p>
    <w:p>
      <w:r>
        <w:t>La présidente : Pauline ERARD</w:t>
      </w:r>
    </w:p>
    <w:p>
      <w:r>
        <w:t>La greffière : Marie-Pierre GROSJEAN</w:t>
      </w:r>
    </w:p>
    <w:p>
      <w:r>
        <w:t>- 10/10 -</w:t>
      </w:r>
    </w:p>
    <w:p>
      <w:r>
        <w:t>C/27579/2024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