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ACJC/1507/2020 vom 6. November 2020</w:t>
      </w:r>
    </w:p>
    <w:p>
      <w:r>
        <w:t>GE Cour de justice, 2020-11-06, FR</w:t>
      </w:r>
    </w:p>
    <w:p>
      <w:r>
        <w:rPr>
          <w:b/>
        </w:rPr>
        <w:t xml:space="preserve">Quelle: </w:t>
      </w:r>
      <w:r>
        <w:t>https://mcp.opencaselaw.ch/entscheid/ge_gerichte_ACJC_1507_2020</w:t>
      </w:r>
    </w:p>
    <w:p>
      <w:r>
        <w:t>FR: GE_GERICHTE ACJC/1507/2020 du 6 novembre 2020</w:t>
      </w:r>
    </w:p>
    <w:p>
      <w:r>
        <w:t>IT: GE_GERICHTE ACJC/1507/2020 del 6 novembre 2020</w:t>
      </w:r>
    </w:p>
    <w:p>
      <w:pPr>
        <w:pStyle w:val="Heading2"/>
      </w:pPr>
      <w:r>
        <w:t>Erwägungen</w:t>
      </w:r>
    </w:p>
    <w:p>
      <w:r>
        <w:rPr>
          <w:b/>
        </w:rPr>
        <w:t>E. 1.1</w:t>
      </w:r>
    </w:p>
    <w:p>
      <w:r>
        <w:t>Interjeté dans le délai utile et suivant la forme prescrits par la loi (art. 130, 131, 142,143 ainsi que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La compétence ratione loci des juridictions genevoises pour connaître du présent litige n'est à juste titre pas contestée par les parties, au vu de l'élection de for contenue à l'art. 14 du Contrat de location (art. 17 CPC; cf. également art. 18 CPC).</w:t>
      </w:r>
    </w:p>
    <w:p>
      <w:r>
        <w:rPr>
          <w:b/>
        </w:rPr>
        <w:t>E. 3</w:t>
      </w:r>
    </w:p>
    <w:p>
      <w:r>
        <w:t>Invoquant une violation des art. 151 et 156 CO, l'appelante reproche au Tribunal d'avoir retenu que les parties avaient conclu un engagement conditionnel, que les conditions n'avaient pas été remplies et que l'intimée n'avait pas empêché volontairement leur avènement.</w:t>
      </w:r>
    </w:p>
    <w:p>
      <w:r>
        <w:rPr>
          <w:b/>
        </w:rPr>
        <w:t>E. 3.1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w:t>
      </w:r>
    </w:p>
    <w:p>
      <w:r>
        <w:t>- 15/24 -</w:t>
      </w:r>
    </w:p>
    <w:p>
      <w:r>
        <w:t>C/24771/2016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On distingue la simulation totale de la simulation partielle; la première porte sur le contrat entier, alors que, dans la seconde, les déclarations échangées sont en partie vraies, en partie simulées (arrêt du Tribunal fédéral 4A_90/2016 du 25 août 2016 consid. 3.3.1). 3.2.1 D'après l'art. 151 al. 1 CO, le contrat est conditionnel, lorsque l'existence de l'obligation qui en forme l'objet est subordonnée à l'arrivée d'un événement incertain. La condition est un événement futur incertain dont les parties font dépendre un effet juridique. Elle peut concerner tout type de contrat mais aussi une obligation, sa naissance, sa modification, son extinction (TERCIER/PICHONNAZ, Le droit des obligations, 2019, n. 970). En principe, ce sont donc les effets d'un acte juridique qui sont en suspens, mais non l'existence de l'acte lui-même (PICHONNAZ, Commentaire romand, Code des Obligations I, 2ème éd. 2012, n. 1 ad art. 151 CO). La condition n'est soumise à aucune forme. Elle peut donc être expresse (p. ex. "à la condition que", "sous réserve de") ou tacite (résultant de l'interprétation du contrat, des circonstances ou du contexte). Elle peut même être conclue subséquemment à la conclusion du contrat principal. En revanche, lorsque l'acte qu'elle affecte est soumis au respect d'une forme particulière, la condition doit</w:t>
      </w:r>
    </w:p>
    <w:p>
      <w:r>
        <w:t>- 16/24 -</w:t>
      </w:r>
    </w:p>
    <w:p>
      <w:r>
        <w:t>C/24771/2016 revêtir la même forme, à moins qu'elle n'affecte qu'une modalité secondaire de l'acte non couverte par l'exigence de forme (PICHONNAZ, n. 2 ad art. 151 CO). La condition peut avoir n'importe quel objet dans les limites de l'art. 157 CO. Elle peut être purement casuelle, potestative ou mixte. Une condition est potestative lorsqu'elle dépend d'une partie ou d'un tiers. Elle est mixte lorsqu'elle dépend à la fois de la volonté d'une partie et du hasard, par exemple : "je te vends mon tableau si tu te maries" (TERCIER/PICHONNAZ, op. cit, n. 972). Selon l'art. 151 al. 2 CO, le contrat soumis à une condition suspensive ne produit d'effets qu'à compter du moment où la condition s'accomplit, si les parties n'ont pas manifesté une intention contraire. La naissance d'un effet juridique est subordonnée à la réalisation de la condition. L'effet contractuel, à savoir le fait de lier les parties à leur accord, ne naît qu'au moment où s'accomplit la condition. En revanche, l'effet formateur existe dès l'accord des manifestations de volonté puisque les parties ne peuvent plus se délier durant la période de suspension de la condition, à tout le moins pour la période fixée ou raisonnable selon les circonstances. L'acte passé sous condition est en suspens; il est imparfait (TERCIER/PICHONNAZ, op. cit., n. 976 à 979). Les parties peuvent fixer un délai déterminé durant lequel la condition suspensive doit se réaliser. Passé ce délai, la condition fait définitivement défaut, même si l'événement incertain se produit ultérieurement. Lorsque la condition fait défaut, les parties se retrouvent dans la même situation que si elles n'avaient pas conclu d'acte conditionnel (PICHONNAZ, op. cit., n. 54 à 58 ad art. 151 CO). L'ensemble de l'acte conditionnel devient alors caduc (arrêt du Tribunal fédéral 4C_25/2004 du 13 septembre 2004 consid. 3.3). Contrairement à un devoir contractuel, la partie dont peut dépendre la réalisation d'une condition ne peut être contrainte de provoquer la réalisation de l'événement envisagé, ni tenue de payer des dommages-intérêts en cas de non-réalisation de la condition, sous réserve d'un comportement contraire aux règles de la bonne foi (art. 156 CO; cf. ch. 3.2.2 ci-dessous) (PICHONNAZ, op. cit., n. 12 ad art. 151 CO). Il appartient à la partie défenderesse d'établir le caractère conditionnel d'une obligation, puisque la condition fait obstacle à la naissance de la créance déduite en justice par la partie demanderesse ou entraîne son extinction (arrêt du Tribunal fédéral 4C_212/2004 du 25 octobre 2004 consid. 3.1). 3.2.2 Selon l'art. 156 CO, une condition est réputée accomplie quand l'une des parties en a empêché l'avènement au mépris des règles de la bonne foi. L'art. 156 CO s'applique également aux conditions potestatives (ATF 117 II 273 consid. 5c, JdT 1992 I 290).</w:t>
      </w:r>
    </w:p>
    <w:p>
      <w:r>
        <w:t>- 17/24 -</w:t>
      </w:r>
    </w:p>
    <w:p>
      <w:r>
        <w:t>C/24771/2016 L'application de cette disposition suppose l'existence d'une condition, un comportement contraire aux règles de la bonne foi et un lien de causalité entre l'empêchement déloyal et l'avènement ou le défaut de la condition (arrêt du Tribunal fédéral 4A_449/2013 du 19 février 2014 consid. 5.3). Il n'est pas nécessaire que la défaillance de la condition soit le résultat exclusif du comportement du cocontractant; il suffit que celui-ci ait favorisé ce défaut de façon déterminante (ACJC/502/2008 du 18 avril 2008 consid. 3.1; PICHONNAZ, op. cit., n. 16 ad art. 156 CO). Le caractère intentionnel n'est requis ni concernant l'empêchement de l'avènement de la condition, ni concernant la contrariété aux règles de la bonne foi (ATF 113 II 31 consid. 2b; 109 II 20 consid. 2a). Pour examiner la contrariété aux règles de la bonne foi, il faut examiner l'ensemble des circonstances, notamment ses motifs et les buts poursuivis (arrêts du Tribunal fédéral 6B_1078/2014 du 9 février 2016 consid. 2.2.1; 4C_25/2004 du 13 septembre 2004 consid. 3.2.1). Pour que le comportement soit déloyal, il faut qu'à la lumière du principe de la confiance, une partie ait l'obligation d'avoir un certain comportement ou une certaine abstention, en particulier parce qu'elle a créé une attente justifiée de l'autre partie (PICHONNAZ, op. cit., n. 12 ad art. 156 CO). Ainsi, le fait d'adopter un comportement qui maintient l'autre partie, à tort, dans l'idée qu'un contrat sera certainement conclu, est contraire aux règles de la bonne foi (arrêt du Tribunal fédéral 4A_229/2014 du 19 septembre 2014 consid. 4.4). Cependant, il faut se garder d'interpréter trop largement l'art. 156 CO, car, en convenant d'une condition, les parties ont introduit dans leurs relations un élément d'incertitude qu'elles doivent assumer. Il faut garder à l'esprit que le contractant n'a pas l'obligation de favoriser l'avènement de la condition et de sacrifier ses propres intérêts à cette fin; l'art. 156 CO n'est applicable que lorsque le comportement adopté revêt un caractère déloyal (ATF 133 III 527 consid. 3.3.3; 117 II 273 consid. 5c, JT 1992 I 290; arrêts du Tribunal fédéral 6B_1078/2014 du 9 février 2016 consid. 2.2.1; 4A_561/2012 du 23 janvier 2013 consid. 3.1; 4C_281/2005 du 15 décembre 2005 consid. 3.5, SJ 2006 I 174). 3.3.1 En l'espèce, le Tribunal a retenu que le Contrat de location était entré en vigueur dès sa signature par les parties, mais que les effets de ce contrat dépendaient de la location, qui débutait dès la livraison de l'équipement, laquelle n'était possible qu'après l'octroi du financement permettant d'acquérir ledit équipement. Le Contrat de location ne pouvant déployer ses effets juridiques qu'à partir de l'octroi du financement, il s'agissait d'un contrat conditionnel. En l'absence de financement octroyé par [la banque] D______, ni l'achat d'équipement médical ni sa livraison n'avaient eu lieu, de sorte que le Contrat de</w:t>
      </w:r>
    </w:p>
    <w:p>
      <w:r>
        <w:t>- 18/24 -</w:t>
      </w:r>
    </w:p>
    <w:p>
      <w:r>
        <w:t>C/24771/2016 location – demeuré en suspens dans cette attente – n'avait jamais déployé d'effets juridiques. L'appelante conteste le résultat auquel est parvenu le Tribunal. Elle fait en particulier valoir que le Contrat de location du 6 août 2013 et son avenant du 31 mars 2014 comportaient tous les éléments objectivement et subjectivement essentiels du contrat (soit les appareils faisant l'objet de la location, le montant de la redevance due et la durée du contrat). Selon l'appelante, aucun des deux documents précités ne comportait une quelconque condition, de sorte que chacune des parties était tenue d'exécuter ses obligations jusqu'à ce que le contrat soit valablement résilié par l'une d'entre elles ou que celles-ci renoncent à son exécution, ce qui n'avait pas été le cas en l'occurrence. L'argumentation de l'appelante frise la témérité, puisqu'elle a expressément reconnu devant le Tribunal, par le biais de son représentant, que le Contrat de location avait été signé en août 2013, mais qu'il déployait ses effets plus tard, à une date dépendant de l'octroi du financement. Il résulte également de ses écritures de première instance que ce n'était qu'une fois que le financement avait été accepté par une banque qu'elle achetait l'équipement souhaité par son client avant de le louer à ce dernier (puis de procéder à une cession de créances et un transfert de propriété en faveur de la banque). Les explications qui précèdent corroborent ainsi le résultat auquel est parvenu le Tribunal en procédant à l'interprétation subjective des manifestations de volonté des parties, interprétation qui ne prête d'ailleurs pas le flanc à la critique. En effet, les parties ont signé plusieurs documents, soit le Contrat de location du</w:t>
      </w:r>
    </w:p>
    <w:p>
      <w:r>
        <w:rPr>
          <w:b/>
        </w:rPr>
        <w:t>E. 3.4</w:t>
      </w:r>
    </w:p>
    <w:p>
      <w:r>
        <w:t>Le Contrat de location n'ayant pas produit d'effets juridiques, la question d'une résiliation de celui-ci n'entrait pas en considération. Aussi, la circonstance que les parties n'avaient prévu aucune clause prévoyant la possibilité de s'en départir sans frais est dépourvue de pertinence pour l'issue du litige. Le Tribunal a correctement retenu que l'art. 11.2 des Conditions générales ne s'appliquait pas, de sorte que l'appelante n'était pas fondée à réclamer des dommages-intérêts sur cette base. L'appel étant infondé, le jugement entrepris sera donc intégralement confirmé. 4. En application de l'art. 106 al. 1 CPC, l'appelante, qui succombe, sera condamnée aux frais judiciaires d'appel fixés à 20'000 fr. (art. 95, 96 et 105 CPC; art. 17 et 35 RTFMC), couverts par l'avance versée par celle-ci, qui reste acquise à l'Etat de Genève (art. 98 et 111 al. 1 CPC). L'appelante sera également condamnée au paiement des dépens de sa partie adverse, arrêtés à 10'000 fr., débours et TVA compris (art. 20, 25 et 26 LaCC et 85 et 90 RTFMC), compte tenu de la relative modicité du travail engendré par la présente procédure, l'intimée comparant par un avocat ayant déposé une écriture d'une dizaine de pages, dont le contenu reprend pour l'essentiel l'argumentation développée en première instance. * * * * *</w:t>
      </w:r>
    </w:p>
    <w:p>
      <w:r>
        <w:t>- 24/24 -</w:t>
      </w:r>
    </w:p>
    <w:p>
      <w:r>
        <w:t>C/24771/2016 PAR CES MOTIFS, La Chambre civile : A la forme : Déclare recevable l'appel interjeté le 4 mars 2020 par A______ SA contre le jugement JTPI/1628/2020 rendu le 28 janvier 2020 par le Tribunal de première instance dans la cause C/24771/2016-21. Au fond : Confirme le jugement entrepris. Déboute les parties de toutes autres conclusions. Sur les frais : Arrête les frais judicaires d'appel à 20'000 fr., les met à la charge de A______ SA et les compense avec l'avance versée, qui reste acquise à l'Etat de Genève. Condamne A______ SA à verser à B______ SA la somme de 10'000 fr. à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août 2013 accompagné des conditions générales y relatives, l'avenant n° 1 du 31 mars 2014, ainsi qu'un courrier daté du 17 mars 2014 informant l'intimée de la cession du contrat à [la banque] D______ et énumérant les conditions auxquelles l'octroi du financement était soumis. En soi, le Contrat de location ne définissait pas l'objet du contrat, lequel devait être précisé par des avenants, qui devaient ainsi désigner, entre autres, l'équipement mis en location, la date prévue de sa livraison, le début probable de la location et le montant des redevances. Si l'art. 4 du Contrat de location stipulait bien que celui-ci entrait en vigueur dès sa signature par les deux parties, cette même disposition précisait que la location, et par là-même l'obligation de la locataire de s'acquitter d'un loyer, ne prenait effet qu'à compter de la date de la livraison de l'équipement. Sur la base de ce premier document, il est incontestable que si les parties ont bien été liées par un rapport juridique, celui-ci ne pouvait déployer ses effets qu'à partir du moment où l'équipement avait été défini, commandé, payé (par l'appelante), puis livré à l'intimée. Il en découle que le décalage temporel entre la signature du</w:t>
      </w:r>
    </w:p>
    <w:p>
      <w:r>
        <w:t>- 19/24 -</w:t>
      </w:r>
    </w:p>
    <w:p>
      <w:r>
        <w:t>C/24771/2016 Contrat de location et ses effets juridiques devait servir à trouver le financement des équipements médicaux souhaités par l'intimée en vue de la création du centre de radiologie. L'offre de financement de D______ (acceptée par l'appelante avant même la signature de l'Avenant définissant l'objet de la location) énumérait un certain nombre de conditions préalables à remplir par l'intimée. L'appelante a ensuite intégré ces conditions préalables dans la déclaration de cession de créances qu'elle a fait parvenir à l'intimée le 17 mars 2014 et que cette dernière a contresigné pour acceptation le 31 du même mois. Avant de signer cet acte du 17 mars 2014 et l'avenant au Contrat de location, H______ s'est cependant adressé à I______ le 21 mars 2014 pour lui demander des éclaircissements sur la portée de ces engagements. Ce dernier lui a alors assuré, par courriel du même jour, que ledit contrat ne prenait pas effet ("the M______ contract never starts") avant acceptation complète de l'équipement médical et que, dans l'hypothèse où le projet s'effondrait, aucun montant ne serait dû, sous réserve des quelques 22'000 fr. requis pour garantir les conditions financières offertes par la banque. Il ne résulte pas du dossier que les parties auraient eu d'autres échanges postérieurement à celui-ci mais avant la signature des documents le 31 mars 2014. L'appelante fait grief au Tribunal de s'être fondé sur le courriel précité du 21 mars 2014 pour examiner les conséquences d'un abandon du projet. Elle fait valoir que le contenu dudit courriel ne saurait lui être opposé, puisque I______ ne pouvait valablement l'engager, faute de disposer du pouvoir de signature au sein de la société. Elle ne peut cependant être suivie sur ce point. D'une part, I______ a été, au sein de A______ SA, le principal (voire l'unique) interlocuteur de l'intimée dans le cadre du projet d'ouverture du centre de radiologie, et il ne peut dès lors raisonnablement être plaidé qu'il n'était pas habilité à fournir des renseignements au sujet de la portée des engagements qu'il a lui-même négociés. D'autre part, C______, administrateur de A______ SA, a affirmé que I______ l'avait tenu très précisément informé des courriels qu'il avait échangés avec H______, car il s'agissait d'un dossier compliqué, compte tenu de toutes les conditions suspensives. C______ a dès lors eu connaissance du courriel présentement litigieux et il ne résulte pas du dossier qu'il aurait émis une quelconque objection quant à son contenu à l'époque. Certes, I______, entendu en qualité de témoin, a affirmé devant le Tribunal que lorsqu'il avait mentionné l'éventualité que le projet n'aboutisse pas, il songeait en particulier à l'hypothèse d'une faillite de B______ SA, mais qu'il n'avait pas imaginé la possibilité que les conditions posées par la banque ne soient pas réalisées. Les cas de figure que l'intéressé avait alors en tête sont toutefois dépourvus de pertinence, puisque comme l'a retenu à juste titre le Tribunal, à la</w:t>
      </w:r>
    </w:p>
    <w:p>
      <w:r>
        <w:t>- 20/24 -</w:t>
      </w:r>
    </w:p>
    <w:p>
      <w:r>
        <w:t>C/24771/2016 lecture du courriel susvisé, H______ pouvait, de bonne foi, comprendre que B______ SA ne serait pas liée par le Contrat de location avant l'acceptation complète de l'équipement et que si le projet n'aboutissait pas, quel qu'en soit le motif, seul le seul montant de 22'000 fr. environ était dû. A noter que les déclarations de ce témoin doivent de toute manière être prises en compte avec circonspection, puisqu'il a admis qu'il s'était entretenu avec C______ avant son audition par le Tribunal (celui-ci lui ayant rapporté le contenu de son propre interrogatoire), que le contenu de sa déposition a été discuté avec l'intéressé (sans quoi le témoin ne se serait pas présenté avec des pièces à remettre au Tribunal et n'aurait, par exemple, pas affirmé s'être dit à lui-même que le contrat était à un moment donné devenu "actif" – question centrale du présent litige – sans qu'une question ne lui ait été posée sur ce point), et qu'il a en outre affirmé qu'il avait été blessé par toute l'histoire concernant le projet de l'intimée. Par ailleurs, l'appelante se prévaut à tort du fait que le Contrat de location aurait été activé par le paiement du montant de 22'816 fr. par l'intimée, puisqu'il ne paraît guère crédible que ledit contrat ait déployé ses effets alors que les locaux destinés à accueillir l'équipement médical qui était censé faire l'objet dudit contrat n'étaient pas prêts (les travaux n'ayant alors même pas débuté, faute d'autorisation de construire), que l'équipement en question n'avait été ni commandé, ni livré et que les redevances de location soi-disant dues n'ont jamais été facturées. Pour le surplus, il résulte des explications figurant dans le courriel susvisé du 21 mars 2014 que le but du versement de cette somme était uniquement de garantir les conditions de financement offertes par la banque. Concernant ce point, l'appelante n'a émis aucune critique au sujet des développements du Tribunal selon lesquels D______ n'avait d'ailleurs pas confirmé que le montant de 22'816 fr. avait été requis à cette fin de garantie, que la première nommée n'avait pas démontré avoir reversé cette somme à ladite banque et qu'il apparaissait plus vraisemblable que l'appelante ait facturé cette somme afin de rémunérer le travail qu'elle-même avait effectué jusque-là. Indépendamment de la finalité du versement de la somme précitée, il convient de relever que dans son courriel du 7 novembre 2014, G______, de D______, a indiqué à H______ que l'activation du contrat, qui devait intervenir avant la fin du mois de mars 2015, exigeait que le prêt d'actionnaires de 6'000'000 fr. soit à la libre disposition de l'intimée, ce qui n'avait pas été réalisé et vient par conséquent infirmer la thèse de l'appelante. Pour le surplus, la teneur de la rétrocession de créances résultant du Contrat de location ("sofern und soweit von D______ überhaupt wirksam erworben") de D______ envers l'appelante au début de l'année 2016 tend à renforcer la conviction selon laquelle ledit contrat n'est jamais entré en force. A noter que l'avenant signé le 31 mars 2014 constitue un acte partiellement simulé, puisqu'il indique une date de livraison impossible au mois de mars 2014</w:t>
      </w:r>
    </w:p>
    <w:p>
      <w:r>
        <w:t>- 21/24 -</w:t>
      </w:r>
    </w:p>
    <w:p>
      <w:r>
        <w:t>C/24771/2016 (dès lors que les locaux devant accueillir le centre de radiologie n'étaient pas prêts et que le matériel qui était censé faire l'objet de la location n'avait même pas été commandé) et qu'au moment de sa signature, de grandes incertitudes demeuraient encore au sujet de la date de délivrance de l'autorisation de construire relative au centre de radiologie, de sorte que les parties ne pouvaient même pas être sûres que l'équipement de radiologie (à supposer qu'il soit effectivement commandé) pourrait être livré pour le mois de septembre 2014 de manière à faire débuter la location à ce moment-là. Il s'ensuit qu'en signant cet avenant, les parties n'ont voulu créer que l'apparence d'un acte juridique à l'égard de la banque D______, à laquelle les droits résultant du Contrat de location avaient été cédés à compter du mois de septembre 2014, avant même que l'avenant en question ne soit conclu. Ledit avenant est par conséquent dépourvu d'effets juridiques en tant qu'il fixe le début de la location au mois de mars 2014. Compte tenu de l'ensemble de ce qui précède, c'est à bon droit que le Tribunal a jugé que les parties avaient voulu se lier par un contrat de location uniquement à condition qu'un financement soit octroyé par la banque pour acquérir le matériel devant faire l'objet de la location, financement lui-même subordonné à la réalisation de diverses conditions. Les conditions posées par la banque n'ayant pas été réalisées dans le délai imparti, celle-ci a décidé de retirer son offre de financement, de sorte que le Contrat de location n'a jamais déployé d'effets, faute de réalisation des conditions suspensives auxquelles il avait été subordonné (sous réserve de l'hypothèse prévue par l'art. 156 CO, qui sera examinée ci-après). 3.3.2 Dans l'éventualité où la Cour retiendrait que les parties avaient été liées par un engagement conditionnel, l'appelante fait valoir que l'intimée a empêché l'avènement des conditions prévues au mépris des règles de la bonne foi. En effet, l'offre de financement de la banque était notamment subordonnée au fait que l'intimée obtienne des prêts de ses actionnaires totalisant 6'000'000 fr. L'appelante soutient que l'intimée aurait dû entreprendre toutes les démarches possibles en vue de respecter cette condition, laquelle avait d'ailleurs pu être réalisée, puisque la totalité de la somme avait par la suite pu être réunie et versée sur un compte auprès de E______. Il est vrai que l'intimée avait signé en janvier 2014 une convention avec ses actionnaires, aux termes de laquelle ces derniers s'engageaient, individuellement, à fournir des prêts de divers montants, totalisant 6'000'000 fr., les versements y relatifs devant intervenir en deux tranches. Cela étant, il résulte de la convention en cause que le paiement de la seconde tranche de 3'000'000 fr., qui devait intervenir au plus tôt au mois de septembre 2014, ne devait être effectué qu'une fois que le directeur général de B______ SA aurait obtenu les confirmations écrites de la part des investisseurs, dont les prêts représenteraient au moins 80% de la seconde tranche, de ce qu'ils avaient bien l'intention de procéder au paiement</w:t>
      </w:r>
    </w:p>
    <w:p>
      <w:r>
        <w:t>- 22/24 -</w:t>
      </w:r>
    </w:p>
    <w:p>
      <w:r>
        <w:t>C/24771/2016 du "Second Installment". Ainsi, la réalisation de la condition portant sur les prêts d'actionnaires à hauteur de 6 millions de francs suisses ne dépendait pas de la volonté de l'intimée, mais de l'accord de chacun de ses actionnaires de s'acquitter de sa part du Second installment, décision que chacun pouvait prendre individuellement et selon sa propre appréciation, conformément aux termes de l'accord signé en janvier 2014. L'on ne voit dès lors pas sur quelle base l'intimée aurait pu contraindre ses actionnaires à lui prêter les 3'000'000 fr. manquants avant la fin du mois de mars 2015, si ceux-ci n'y étaient pas disposés. La circonstance que la totalité de la somme ait finalement pu être réunie plusieurs mois après l'échéance fixée par D______ n'est pas déterminante, puisque l'offre de financement de cette banque avait entre-temps été retirée. Aucun élément du dossier ne permet de retenir que les actionnaires auraient volontairement tardé à verser les fonds prêtés à la société. Quoi qu'il en soit, comme l'a à juste titre rappelé le Tribunal, l'intimée n'avait aucune obligation de favoriser l'avènement des conditions et de sacrifier ses propres intérêts à cette fin. Aussi, dans la mesure où l'appelante avait obtenu une meilleure proposition de financement que celle de D______, qui correspondait à ses intérêts immédiats (à savoir l'obtention d'un montant plus élevé et à un meilleur taux), l'on ne voit pas pourquoi elle aurait dû entreprendre de quelconques démarches pour contraindre ses actionnaires à prêter leurs fonds dans le délai fixé par cette banque, dont les conditions offertes ne la satisfaisaient plus, compte tenu notamment de changements de circonstances survenus dans l'intervalle. L'appelante est au demeurant malvenue de prétendre que l'intimée était liée par l'offre de D______, puisque lorsqu'elle l'a informée du fait qu'elle avait obtenu une meilleure offre de E______ – tout en précisant qu'elle serait prête à continuer à travailler avec elle dans le cas où elle parviendrait à égaler cette offre, voire à en obtenir une encore plus avantageuse –, la première nommée a accueilli cette nouvelle de manière très positive, allant même jusqu'à évoquer l'idée de refinancer les équipements médicaux par cette seconde banque. Il ne résulte toutefois pas du dossier qu'elle aurait ensuite initié des démarches en ce sens auprès de cet établissement, qui fait pourtant partie de ses partenaires financiers, ou auprès de D______ en vue d'obtenir une meilleure proposition. Dans tous les cas, la réaction de l'appelante face à l'annonce précitée de l'intimée tend à démontrer qu'il n'existait pas d'engagement formel auprès de D______, nonobstant la signature des divers documents évoqués ci-dessus, et que la seconde n'a pas déçu une attente que la première aurait placée en elle sur ce point. Pour le surplus, l'allégué selon lequel ce serait uniquement grâce au soutien de l'appelante que l'intimée était parvenue à trouver une solution de financement pour son projet ne trouve aucune assise dans le dossier, étant d'ailleurs rappelé que le</w:t>
      </w:r>
    </w:p>
    <w:p>
      <w:r>
        <w:t>- 23/24 -</w:t>
      </w:r>
    </w:p>
    <w:p>
      <w:r>
        <w:t>C/24771/2016 témoin J______ a nié que la seconde avait essuyé des refus de plusieurs banques avant de s'adresser à la première nommée. En tout état, cette question est dépourvue de pertinence pour l'issue du litige, puisque l'appelante ne prétend pas à une rémunération au titre d'apporteur d'affaires. Il résulte des divers éléments qui précèdent que l'une des conditions principales requises par D______ avait fait défaut, sans qu'un comportement déloyal ne puisse être reproché à l'intimée, de sorte qu'il n'y a pas lieu d'examiner si, comme le prétend l'appelante, les autres exigences auraient aisément pu être réalisées. A noter que ce n'est pas l'intimée qui a choisi ne pas réaliser son projet par le biais de D______, mais que c'est cette dernière qui a décidé de retirer son offre de financement au mois de mars 2015. L'intimée n'ayant pas adopté un comportement contraire aux règles de la bonne foi, c'est avec raison que le Tribunal a retenu qu'il n'y avait pas lieu de considérer que les conditions suspensives étaient réputées accomplies en application de l'art. 156 CO, étant rappelé que les parties ont délibérément choisi d'introduire dans leur relation plusieurs éléments d'incertitudes qu'elles doivent assumer.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