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ACJC/1501/2022 vom 22. November 2022</w:t>
      </w:r>
    </w:p>
    <w:p>
      <w:r>
        <w:t>GE Cour de justice, 2022-11-22, FR</w:t>
      </w:r>
    </w:p>
    <w:p>
      <w:r>
        <w:rPr>
          <w:b/>
        </w:rPr>
        <w:t xml:space="preserve">Quelle: </w:t>
      </w:r>
      <w:r>
        <w:t>https://mcp.opencaselaw.ch/entscheid/ge_gerichte_ACJC_1501_2022</w:t>
      </w:r>
    </w:p>
    <w:p>
      <w:r>
        <w:t>FR: GE_GERICHTE ACJC/1501/2022 du 22 novembre 2022</w:t>
      </w:r>
    </w:p>
    <w:p>
      <w:r>
        <w:t>IT: GE_GERICHTE ACJC/1501/2022 del 22 novembre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311 al. 1 CPC), à l'encontre d'une décision finale de première instance (art. 308 al. 1 let. a CPC), qui statue sur action en modification de la contribution à l'entretien de l'enfant, soit sur une</w:t>
      </w:r>
    </w:p>
    <w:p>
      <w:r>
        <w:t>- 6/15 -</w:t>
      </w:r>
    </w:p>
    <w:p>
      <w:r>
        <w:t>C/25138/2021 affaire patrimoniale dont la valeur litigieuse est, compte tenu de la suppression réclamée, supérieure à 10'000 fr. (art. 91 al. 1, 92 et 308 al. 2 CPC).</w:t>
      </w:r>
    </w:p>
    <w:p>
      <w:r>
        <w:t>La recevabilité de la détermination spontanée envoyée par l'intimé après que la cause a été gardée à juger en seconde instance peut demeurer indécise, puisque la Cour n'est de toute manière pas liée par les conclusions des parties lorsque le sort d'un enfant mineur est en jeu (cf. consid. 1.3 ci-dessous).</w:t>
      </w:r>
    </w:p>
    <w:p>
      <w:r>
        <w:rPr>
          <w:b/>
        </w:rPr>
        <w:t>E. 1.2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1.3</w:t>
      </w:r>
    </w:p>
    <w:p>
      <w:r>
        <w:t>La présente cause est soumise aux maximes d'office et inquisitoire illimitée en tant qu'elle concerne la contribution d'entretien due à un enfant mineur en vertu du droit de la famille (art. 55 al. 2, 58 al. 2 et 296 al. 1 et 3 CPC; ATF 147 III 301 consid. 2.2). La Cour n'est donc pas liée par les conclusions des parties, ni par l'interdiction de la reformatio in pejus (ATF 129 III 417 consid. 2.1.1; arrêt du Tribunal fédéral 5A_841/2018,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2</w:t>
      </w:r>
    </w:p>
    <w:p>
      <w:r>
        <w:t>L'appelante fait grief au premier juge d'avoir modifié le jugement de divorce en ce sens que l'intimé était désormais dispensé de contribuer à l'entretien de leur fils D______. 2.1.1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w:t>
      </w:r>
    </w:p>
    <w:p>
      <w:r>
        <w:t>- 7/15 -</w:t>
      </w:r>
    </w:p>
    <w:p>
      <w:r>
        <w:t>C/25138/2021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arrêt du Tribunal fédéral 5A_154/2019 du 1er octobre 2019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2.1.2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L'art. 285 CC prévoit par ailleurs que la contribution d'entretien en argent doit correspondre aux besoins de l'enfant ainsi qu'à la situation et aux ressources de ses père et mère; il est tenu compte de la fortune et des revenus de l'enfant (al. 1).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2.1.3 Dans trois arrêts publiés (ATF 147 III 265 in SJ 2021 I 316),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faut</w:t>
      </w:r>
    </w:p>
    <w:p>
      <w:r>
        <w:t>- 8/15 -</w:t>
      </w:r>
    </w:p>
    <w:p>
      <w:r>
        <w:t>C/25138/2021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en tenant compte de toutes les circonstances entourant la prise en charge des enfants mineurs (ATF 147 III 265 consid. 7.1 in SJ 2021 I 316). 2.1.4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arrêts du Tribunal fédéral 5A_1026/2021 du 27 janvier 2022 consid. 4.1; 5A_1046/2018 du 3 mai 2019 consid. 4.3). Pour arrêter le montant du salaire, le juge peut se baser sur l'enquête suisse sur la structure des salaires, réalisée par l'Office fédéral de la statistique, ou sur d'autres sources, notamment le calculateur de salaire du SECO (ATF 137 III 118 consid. 3.2; arrêts du Tribunal fédéral 5A_514/2020 du 2 décembre 2020 consid. 3.1.2; 5A_435/2019 du 19 décembre 2019 consid. 4.1.2). 2.1.5 Dans le calcul des besoins, le point de départ est le minimum vital du droit des poursuites, comprenant l'entretien de base selon les normes d'insaisissabilité (NI 2022, RS/GE E 3 60.04), auquel sont ajoutées les dépenses incompressibles. Dans la mesure où les moyens financiers le permettent, la contribution d'entretien doit être étendue au minimum vital du droit de la famille. Pour les adultes,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w:t>
      </w:r>
    </w:p>
    <w:p>
      <w:r>
        <w:t>- 9/15 -</w:t>
      </w:r>
    </w:p>
    <w:p>
      <w:r>
        <w:t>C/25138/2021 favorables, les primes d'assurance maladie complémentaires, ainsi que les dépenses de prévoyance privée des travailleurs indépendants (ATF 147 III 265 consid. 4.1.5 et 7.2). Seules les charges effectives, dont le débirentier ou le crédirentier s'acquittent réellement doivent être prises en compte (ATF 140 III 337 consid. 4.2.3; arrêt du Tribunal fédéral 5A_405/2019 du 24 février 2020 consid. 5.2). 2.1.6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2.1.7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in SJ 2011 I 221).</w:t>
      </w:r>
    </w:p>
    <w:p>
      <w:r>
        <w:rPr>
          <w:b/>
        </w:rPr>
        <w:t>E. 2.2</w:t>
      </w:r>
    </w:p>
    <w:p>
      <w:r>
        <w:t>A juste titre, l'appelante ne remet pas en cause, en appel, l'existence d'au moins un changement de circonstances – soit la naissance d'un second enfant – susceptible d'affecter la situation de l'intimé de manière importante et durable et justifiant qu'il soit entré en matière sur la demande de l'intéressé visant à la suppression ou la réduction de la contribution d'entretien en faveur de son fils D______. L'appelante reproche en revanche au premier juge d'avoir dispensé son ex-époux de contribuer à l'entretien de D______, au motif qu'il n'aurait pas la possibilité effective de trouver du travail en raison des mesures sanitaires en vigueur dans le domaine de la restauration et du fait que ses recherches d'emploi avaient été infructueuses.</w:t>
      </w:r>
    </w:p>
    <w:p>
      <w:r>
        <w:rPr>
          <w:b/>
        </w:rPr>
        <w:t>E. 2.2.1</w:t>
      </w:r>
    </w:p>
    <w:p>
      <w:r>
        <w:t>Il y a dès lors lieu d'examiner si le revenu hypothétique qui a été imputé lors du divorce aurait dû être maintenu, contrairement à ce qu'a retenu le Tribunal.</w:t>
      </w:r>
    </w:p>
    <w:p>
      <w:r>
        <w:t>En l'occurrence, pour prouver ses démarches en vue de réintégrer le marché du travail, l'intimé a fourni un document destiné à l'assurance chômage et attestant d'offres de service effectuées à l'occasion de visites personnelles dans huit restaurants le 15 décembre 2021, trois jours avant le dépôt de la demande de modification. Il a par ailleurs versé à la procédure un document manuscrit</w:t>
      </w:r>
    </w:p>
    <w:p>
      <w:r>
        <w:t>- 10/15 -</w:t>
      </w:r>
    </w:p>
    <w:p>
      <w:r>
        <w:t>C/25138/2021 comportant seize restaurants dans lesquels il a affirmé, sans preuve concrète à l'appui, avoir postulé, à des dates non précisées.</w:t>
      </w:r>
    </w:p>
    <w:p>
      <w:r>
        <w:t>Contrairement à ce qu'a retenu l'autorité de première instance, ces quelques éléments sont impropres à démontrer que l'intimé n'aurait pas la possibilité effective de trouver un travail. En particulier, si l'épidémie de Covid-19 constitue un fait notoire, son impact concret doit être allégué et prouvé par la partie qui s'en prévaut (cf. arrêt du Tribunal fédéral 5A_467/2020 du 7 septembre 2020 consid. 5.3). Or, s'il est indéniable que le domaine de la restauration a été particulièrement touché par les mesures sanitaires en 2020 et 2021, aucun élément concret ne permet de retenir que l'intimé n'aurait pas pu obtenir un emploi dans ce domaine en fournissant sérieusement et assidument les efforts qui pouvaient être attendus de lui, étant au demeurant relevé que la majorité des mesures nationales de lutte contre la pandémie de coronavirus ont été levées en février 2022, soit moins de deux mois après le dépôt de la demande de l'intimé. Par ailleurs, si le versement régulier d'indemnités de chômage sans suspension pourrait constituer un indice permettant de retenir que l'assuré a entrepris tout ce qu'on pouvait raisonnablement exiger de lui pour éviter le chômage et, partant, qu'il a fait des recherches pour retrouver un emploi – un assuré n'ayant droit aux indemnités que s'il a satisfait, entre autres conditions, aux exigences du contrôle par l'office compétent (art. 8 al. 1 let. g de la loi fédérale sur l'assurance-chômage; cf. arrêt du Tribunal fédéral 5A_724/2009 du 26 avril 2010 consid. 5.3) – les dispositions de la Loi genevoise sur l'aide sociale individuelle (RSGE J 4 04) ne prévoient pas de règles comparables à celles de la loi sur l'assurance chômage. En particulier, le bénéficiaire des prestations n'est pas astreint à un contrôle systématique de ses recherches d'emploi. Il en résulte que les allégations formulées par l'intimé en première instance sur la situation du marché du travail et sur la prétendue absence d'exigences de l'Hospice général en matière de recherches d'emploi ne sont d'aucun secours pour examiner si un revenu hypothétique peut toujours être imputé à l'intéressé et, si oui, à quelle hauteur. L'intimé, désormais âgé de 46 ans, n'a au demeurant invoqué aucune circonstance nouvelle, comme des problèmes de santé, qui l'empêcherait d'exercer une activité professionnelle. Il apparaît dès lors que le revenu hypothétique de 3'845 fr. nets pris en considération lors du prononcé du divorce – sur la base des statistiques de l'observatoire genevois du marché du travail – pour une activité à temps complet dans le domaine de l'hôtellerie/restauration, dans lequel l'intéressé dispose d'une formation et de plusieurs expériences (tel que cela résulte notamment du jugement de divorce, qui n'a pas été contesté à l'époque), est toujours d'actualité. A noter qu'il pouvait également être attendu de l'intimé qu'il étende ses recherches à d'autres secteurs ne nécessitant pas de formation particulière, tels que le</w:t>
      </w:r>
    </w:p>
    <w:p>
      <w:r>
        <w:t>- 11/15 -</w:t>
      </w:r>
    </w:p>
    <w:p>
      <w:r>
        <w:t>C/25138/2021 nettoyage. Selon le calculateur statistique de salaires de l’Office fédéral de la statistique, le salaire brut médian à Genève pour une personne de 46 ans, sans formation ni fonction de cadre ni année de service dans le secteur des activités de services administratifs et de soutien aux entreprises, à savoir pour la fonction de nettoyeur/aide de ménage, est de 4'359 fr. par mois pour une activité à 100% (40h/semaine), ce qui revient à environ 3'790 fr. nets par mois après déduction de 13% de charges sociales. Les charges de l'intimé seront arrêtées à 1'808 fr. environ, comprenant 850 fr. d'entretien de base OP (moitié du montant de base pour couple), 709 fr. de loyer (moitié de 1'418 fr.), 197 fr. de prime d'assurance-maladie et 52 fr. 50 de frais de transport (montant résultant du jugement de divorce). Si l'imputation d'un revenu hypothétique implique en général l'estimation de la charge fiscale correspondante, il peut y être renoncé dans le cas présent, puisque les impôts ne font pas partie du minimum vital au sens du droit des poursuites.</w:t>
      </w:r>
    </w:p>
    <w:p>
      <w:r>
        <w:t>En se fondant sur le revenu hypothétique le plus bas retenu ci-dessus, l'intimé est réputé bénéficier d'un disponible d'environ 1'980 fr. par mois.</w:t>
      </w:r>
    </w:p>
    <w:p>
      <w:r>
        <w:rPr>
          <w:b/>
        </w:rPr>
        <w:t>E. 2.2.2</w:t>
      </w:r>
    </w:p>
    <w:p>
      <w:r>
        <w:t>Aussi, même en tenant compte des nouvelles responsabilités familiales de l'intimé, celui-ci demeure en mesure d'assumer la contribution d'entretien litigieuse (500 fr. jusqu'à ce que D______ atteigne l'âge de 15 ans, puis 700 fr. par la suite), tout en conservant plus de 1'000 fr. pour couvrir les charges de son second enfant. Par conséquent, c'est à tort que le Tribunal a dispensé l'intimé de contribuer à l'entretien de son fils D______.</w:t>
      </w:r>
    </w:p>
    <w:p>
      <w:r>
        <w:t>Pour sa part, l'appelante – qui est âgée de 36 ans, ne dispose d'aucune formation et n'a jamais exercé d'activité rémunérée – est toujours bénéficiaire de l'aide sociale. Il n'y a cependant pas lieu d'examiner la possibilité de lui imputer un revenu hypothétique, puisque dans les situations où, comme en l'espèce, l'essentiel des soins et de l'encadrement de l'enfant est assuré par l'un des parents, la charge financière que représente cet enfant doit en principe être assumée entièrement par celui qui n'en a pas la garde. Dès lors que la prise en charge en nature équivaut à la prise en charge financière, le fait de maintenir la condamnation de l'intimé à couvrir seul les frais effectifs de D______ ne crée pas de déséquilibre entre ses parents. Au regard de ce qui précède, il ne peut être retenu que les changements intervenus dans la situation de l'intimé depuis le prononcé du divorce ou d'autres motifs justifieraient une adaptation de la contribution fixée dans cette décision. Pour le surplus, l'appelante ayant sollicité la confirmation du jugement de divorce et n'ayant pas fait valoir que la quotité de la pension alimentaire arrêtée dans ce</w:t>
      </w:r>
    </w:p>
    <w:p>
      <w:r>
        <w:t>- 12/15 -</w:t>
      </w:r>
    </w:p>
    <w:p>
      <w:r>
        <w:t>C/25138/2021 cadre ne serait plus adéquate pour couvrir les besoins actuels de D______, rien ne justifie de revoir celle-ci à la hausse. Compte tenu de ce qui précède, l'appel sera admis. Il convient dès lors d'annuler intégralement le jugement entrepris – sous réserve du chiffre 4 concernant le SCARPA, qui sera maintenu, et de la question des frais qui sera examinée ci- dessous –, ce qui implique que les chiffres 7 et 8 du dispositif du jugement de divorce rendu le 2 février 2018 par le Tribunal sont toujours en vigueur.</w:t>
      </w:r>
    </w:p>
    <w:p>
      <w:r>
        <w:rPr>
          <w:b/>
        </w:rPr>
        <w:t>E. 3.1</w:t>
      </w:r>
    </w:p>
    <w:p>
      <w:r>
        <w:t>Si l'instance d'appel statue à nouveau, elle se prononce sur les frais de la première instance (art. 318 al. 3 CPC). 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Rien ne l'empêche cependant d'en rester à une répartition selon l'art. 106 al. 1 ou 2, notamment en cas de litige entre époux portant essentiellement sur les conséquences pécuniaires d'un divorce (arrêts du Tribunal fédéral 5A_66/2021 du 28 septembre 2021 consid. 3.5.2 et 5A_70/2013 du 11 juin 2013 consid. 6 résumés in CPC Online, ad art. 107 CPC; TAPPY, in Code de procédure civile, Commentaire romand, 2ème éd. 2019, n. 19 ad art. 107 CPC). En l'espèce, le montant des frais judiciaires, fixé par le premier juge à 1'000 fr., l'ayant été en conformité avec les dispositions légales applicables en la matière (art. 31 RTFMC) et n'étant de surcroît pas critiqué par les parties, il peut être confirmé. Il se justifie en revanche de revoir la répartition des frais judiciaires, puisque l'appelante obtient entièrement gain de cause à l'issue de la procédure, dont l'enjeu était essentiellement pécuniaire. Les frais judiciaires de première instance seront en conséquence mis intégralement à la charge de l'intimé, qui a succombé. Chaque partie supportera en revanche ses propres dépens de première instance (cf. art. 107 al. 1 let. c CPC), comme retenu par le premier juge, sans que cela ne soit contesté en appel.</w:t>
      </w:r>
    </w:p>
    <w:p>
      <w:r>
        <w:rPr>
          <w:b/>
        </w:rPr>
        <w:t>E. 3.2</w:t>
      </w:r>
    </w:p>
    <w:p>
      <w:r>
        <w:t>Les frais judiciaires d'appel seront fixés à 500 fr. (art. 96, 104 al. 1 et 105 CPC; art. 30 et 35 RTFMC). Ils seront mis à la charge de l'intimé, qui succombe (art. 106 al. 1 CPC). Celui-ci plaidant au bénéfice de l'assistance</w:t>
      </w:r>
    </w:p>
    <w:p>
      <w:r>
        <w:t>- 13/15 -</w:t>
      </w:r>
    </w:p>
    <w:p>
      <w:r>
        <w:t>C/25138/2021 judiciaire, ils seront provisoirement laissés à la charge de l'Etat, lequel pourra en réclamer le remboursement ultérieurement aux conditions de l'art. 123 CPC. Pour des motifs d'équité liés à la nature du litige, les parties conserveront à leur charge leurs propres dépens d'appel (art. 95 al. 1 let. b et al. 3, 104 al. 1, 105 al. 2 et 107 al. 1 let. c CPC). * * * * *</w:t>
      </w:r>
    </w:p>
    <w:p>
      <w:r>
        <w:t>- 14/15 -</w:t>
      </w:r>
    </w:p>
    <w:p>
      <w:r>
        <w:t>C/25138/2021</w:t>
      </w:r>
    </w:p>
    <w:p>
      <w:r>
        <w:t>PAR CES MOTIFS, La Chambre civile : A la forme : Déclare recevable l'appel interjeté le 1er juillet 2022 par A______ contre le jugement JTPI/6529/2022 rendu le 25 mai 2022 par le Tribunal de première instance dans la cause C/25138/2021. Au fond : Annule les chiffres 1 à 3, 5, 6 et 8 du dispositif du jugement entrepris et cela fait : Dit que le jugement JTPI/2079/2018 rendu par le Tribunal de première instance le 2 février 2018 dans la cause C/1______/2017 reste inchangé. Déboute B______ de toutes ses conclusions. Met les frais judiciaires de première instance, arrêtés à 1'000 fr., à la charge de B______, et dit qu'ils sont provisoirement laissés à la charge de l'Etat de Genève. Confirme le jugement entrepris pour le surplus. Sur les frais : Arrête les frais judiciaires d'appel à 500 fr., les met à la charge de B______ et dit qu'ils sont provisoirement laissés à la charge de l'Etat de Genève, sous réserve d'une décision de l'assistance judiciaire. Dit que chaque partie supporte ses propres dépens d'appel. Siégeant : Madame Jocelyne DEVILLE-CHAVANNE, présidente; Madame Verena PEDRAZZINI RIZZI, Madame Nathalie LANDRY-BARTHE, juges; Madame Sandra CARRIER, greffière. La présidente : Jocelyne DEVILLE-CHAVANNE</w:t>
      </w:r>
    </w:p>
    <w:p>
      <w:r>
        <w:t>La greffière : Sandra CARRIER</w:t>
      </w:r>
    </w:p>
    <w:p>
      <w:r>
        <w:t>- 15/15 -</w:t>
      </w:r>
    </w:p>
    <w:p>
      <w:r>
        <w:t>C/25138/2021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