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ACJC/1500/2018 vom 30. Oktober 2018</w:t>
      </w:r>
    </w:p>
    <w:p>
      <w:r>
        <w:t>GE Cour de justice, 2018-10-30, FR</w:t>
      </w:r>
    </w:p>
    <w:p>
      <w:r>
        <w:rPr>
          <w:b/>
        </w:rPr>
        <w:t xml:space="preserve">Quelle: </w:t>
      </w:r>
      <w:r>
        <w:t>https://mcp.opencaselaw.ch/entscheid/ge_gerichte_ACJC_1500_2018</w:t>
      </w:r>
    </w:p>
    <w:p>
      <w:r>
        <w:t>FR: GE_GERICHTE ACJC/1500/2018 du 30 octobre 2018</w:t>
      </w:r>
    </w:p>
    <w:p>
      <w:r>
        <w:t>IT: GE_GERICHTE ACJC/1500/2018 del 30 ottobre 2018</w:t>
      </w:r>
    </w:p>
    <w:p>
      <w:pPr>
        <w:pStyle w:val="Heading2"/>
      </w:pPr>
      <w:r>
        <w:t>Erwägungen</w:t>
      </w:r>
    </w:p>
    <w:p>
      <w:r>
        <w:rPr>
          <w:b/>
        </w:rPr>
        <w:t>E. 1</w:t>
      </w:r>
    </w:p>
    <w:p>
      <w:r>
        <w:t>1.1 L'appel est recevable contre les jugements de mesures protectrices de l'union conjugale, qui doivent être considérés comme des décisions provisionnelles au sens de l'art. 308 al. 1 let. b CPC (ATF 137 III 475 consid. 4.1), dans les causes non</w:t>
      </w:r>
    </w:p>
    <w:p>
      <w:r>
        <w:t>- 8/12 -</w:t>
      </w:r>
    </w:p>
    <w:p>
      <w:r>
        <w:t>C/19750/2017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et 311 al. 1 CPC) dans une cause de nature non pécuniaire, puisque portant notamment sur la réglementation des droits parentaux (arrêt du Tribunal fédéral 5A_765/2012 du 19 février 2013 consid. 1.1), l'appel est en l'espèce recevable.</w:t>
      </w:r>
    </w:p>
    <w:p>
      <w:r>
        <w:rPr>
          <w:b/>
        </w:rPr>
        <w:t>E. 1.2</w:t>
      </w:r>
    </w:p>
    <w:p>
      <w:r>
        <w:t>La Cour revoit la cause avec un plein pouvoir d'examen (art. 310 CPC) et établit les faits d'office (art. 272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JdT 2002 I 352; arrêt du Tribunal fédéral 5A_392/2014 du 20 août 2014 consid. 1.5). S'agissant du sort des enfants mineurs, les maximes d'office et inquisitoire illimitée s'appliquent (art. 55 al. 2, 58 al. 2 et 296 CPC; ATF 129 III 417 consid. 2.1.2; 128 III 411 consid. 3.2.2. et les références), ce qui a pour conséquence que le juge n'est pas lié par les conclusions des parties (art. 296 al. 3 CPC).</w:t>
      </w:r>
    </w:p>
    <w:p>
      <w:r>
        <w:rPr>
          <w:b/>
        </w:rPr>
        <w:t>E. 1.3</w:t>
      </w:r>
    </w:p>
    <w:p>
      <w:r>
        <w:t>Avec raison, les parties ne contestent pas la compétence des juridictions genevoises pour connaitre du litige (art. 5 ch. 1 de la Convention de la Haye du 19 octobre 1996 concernant la compétence, la loi applicable, la reconnaissance, l'exécution et la coopération en matière de responsabilité parentale et de mesures de protection des enfants; art. 46, 79 al. 1 et 85 al. 1 LDIP) ni l'application du droit suisse (art. 4 de la Convention de la Haye du 2 octobre 1973 sur la loi applicable aux obligations alimentaires; art. 2 CL; art. 48 al. 1, 49, 82 al. 1 et 83 al. 1 LDIP).</w:t>
      </w:r>
    </w:p>
    <w:p>
      <w:r>
        <w:rPr>
          <w:b/>
        </w:rPr>
        <w:t>E. 2</w:t>
      </w:r>
    </w:p>
    <w:p>
      <w:r>
        <w:t>En appel, les parties ont produit de nouvelles pièces et l'appelant invoque des faits nouveaux.</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(arrêt du Tribunal fédéral 5A_788/2017 du 2 juillet 2018, consid. 4.2.1.). Lorsque la procédure est soumise à la maxime inquisitoire, les faits et moyens de preuve nouveaux peuvent être invoqués jusqu'à l'entrée en délibération de l'instance d'appel (VOLKART, DIKE-Komm-ZPO, 2011, n. 17 ad art. 317 CPC;</w:t>
      </w:r>
    </w:p>
    <w:p>
      <w:r>
        <w:t>- 9/12 -</w:t>
      </w:r>
    </w:p>
    <w:p>
      <w:r>
        <w:t>C/19750/2017 REETZ/HILBER, Kommentar zur Schweizerischen Zivilprozessordnung, 2ème éd. 2013, n. 14 ad art. 317 CPC; SPÜHLER, BaKo, 2ème éd. 2013, n. 7 ad art. 317 CPC).</w:t>
      </w:r>
    </w:p>
    <w:p>
      <w:r>
        <w:rPr>
          <w:b/>
        </w:rPr>
        <w:t>E. 2.2</w:t>
      </w:r>
    </w:p>
    <w:p>
      <w:r>
        <w:t>En l'espèce, les parties produisent des pièces nouvelles, certaines antérieures, d'autres postérieures au prononcé du jugement attaqué. Dès lors qu'elles sont pertinentes pour statuer sur les relations personnelles et la contribution d'entretien des filles mineures des époux, ces pièces sont recevables, de même que les faits qu'elles comportent. La recevabilité de la pièce produite par l'appelant le 24 août 2018, soit après que la Cour a gardé la cause à juger, peut au surplus demeurer indécise vu l'issue de la procédure d'appel (cf. infra consid. 3).</w:t>
      </w:r>
    </w:p>
    <w:p>
      <w:r>
        <w:rPr>
          <w:b/>
        </w:rPr>
        <w:t>E. 3</w:t>
      </w:r>
    </w:p>
    <w:p>
      <w:r>
        <w:t>L'appelant reproche au Tribunal d'avoir établi les faits de façon arbitraire en retenant que la cause avait été gardée à juger "à l'issue des plaidoiries finales". Il se plaint d'une violation de son droit d'être entendu, de son droit à un procès équitable et des règles de procédure civile, en tant que le premier juge a écarté les mesures d'instructions requises sans motif et l'a privé de son droit de plaider et de se prononcer sur la cause dans son ensemble. Compte tenu de la nature formelle de ce grief, il convient d'examiner cette question en premier lieu.</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 129 II 497 consid. 2.2).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Les parties doivent à cette fin pouvoir s'exprimer dans le cadre de la procédure, ce qui suppose que la possibilité leur soit concrètement offerte de faire entendre leur point de vue (ATF 137 I 195 consid. 1 et les références). Ce droit à la réplique vaut pour toutes les procédures judiciaires (ATF 138 I 154 consid. 2.3.3; 133 I 98 consid. 2.1). La partie ainsi mise en situation de faire ou non usage de cette possibilité peut soit le faire sans retard, soit demander un délai à cette fin (ATF 133 I 100 consid. 4.8; arrêts du Tribunal fédéral 5A_777/2011 du</w:t>
      </w:r>
    </w:p>
    <w:p>
      <w:r>
        <w:rPr>
          <w:b/>
        </w:rPr>
        <w:t>E. 3.2</w:t>
      </w:r>
    </w:p>
    <w:p>
      <w:r>
        <w:t>En l'espèce, l'appelant relève avec raison que le Tribunal a versé dans l'arbitraire en retenant que la cause avait été gardée à juger à l'issue des plaidoiries finales alors que celles-ci n'ont pas eu lieu. En effet, il n'est pas contesté que les parties n'ont pas eu l'occasion de plaider à l'issue de leur comparution personnelle le 1er mars 2018, raison pour laquelle le Tribunal a fixé sur le siège une audience de plaidoiries le 22 mars 2018. Or, une dizaine de jours seulement après avoir lui-même fixé cette audience, le premier juge a rendu sa décision, statuant sur l'ensemble du litige, sans que l'appelant ait eu l'occasion de se déterminer de façon circonstanciée sur les conclusions nouvelles formées par l'intimée tendant à l'attribution du domicile conjugal et à la limitation de l'autorité parentale. Ce procédé consacre une violation manifeste du droit d'être entendu de l'appelant. Cette violation est grave et ne saurait être guérie devant la Cour, même si celle-ci dispose d'une pleine cognition en fait comme en droit. Afin que les parties ne soient pas privées de la garantie du double degré de juridiction, le jugement attaqué sera annulé et la cause renvoyée au premier juge pour instruction complémentaire et nouvelle décision sur l'ensemble des questions de fond soumises à son examen. En particulier, il appartiendra au Tribunal de statuer à nouveau sur la question des relations personnelles, cet aspect du litige ayant été instruit de façon lacunaire. Ainsi, pour justifier la suspension de tout droit de visite paternel pour une durée indéterminée, le premier juge s'est limité à renvoyer au rapport d'évaluation du SEASP et à évoquer "l'absence de planning" professionnel de l'époux. Bien que celui-ci ait évoqué la flexibilisation imminente de ses horaires de travail, le Tribunal n'a pas interrogé l'appelant sur les modalités pratiques du droit de visite qu'il revendique, ni sur les aménagements concrets susceptibles de favoriser la reprise d'une relation suivie avec ses trois filles. Ces circonstances devront être examinées, la décision de suspendre la relation père-filles étant d'autant moins évidente que le SEASP n'a pas exclu la possibilité que les enfants soient instrumentalisées par leur mère, tandis que le seul épisode de violence objectivé par les intervenants en protection de l'enfant l'a été à l'endroit de la mère. Le cas échéant, il appartiendra au Tribunal de solliciter du SEASP qu'il complète son</w:t>
      </w:r>
    </w:p>
    <w:p>
      <w:r>
        <w:t>- 11/12 -</w:t>
      </w:r>
    </w:p>
    <w:p>
      <w:r>
        <w:t>C/19750/2017 rapport d'évaluation sociale compte tenu de l'assouplissement des horaires de travail de l'appelant, voire, s'il l'estime nécessaire, d'auditionner K______. Il y aura également lieu d'interpeller les parties sur les contributions d'entretien effectivement versées par l'appelant depuis le dépôt de la requête, eu égard à l'accord trouvé à l'audience du 9 novembre 2017, de façon à déterminer s'il se justifie de fixer le dies a quo à la date du dépôt de la requête, respectivement pour pouvoir chiffrer un éventuel arriéré. Le grief formel de l'appelant devant être accueilli et le jugement entrepris annulé, il n'est pas nécessaire d'examiner les autres griefs soulevés en lien notamment avec l'attribution du domicile conjugal et la quotité des contributions d'entretien. De même, il n'y a pas lieu de statuer sur la recevabilité de la conclusion nouvelle de l'appelant en paiement de 2'425 fr. 50 à titre de participation au remboursement d'un crédit familial. Finalement, s'agissant de la conclusion en annulation de la procédure et des actes d'instruction effectués par le premier juge, cette question devra être examinée dans le cadre d'une éventuelle procédure de récusation et n'a dès lors pas vocation à être tranchée dans le cadre du présent appel. 4. Vu les circonstances du cas d'espèce et eu égard aux griefs soulevés par l'appelant, la Cour renoncera à la perception de frais judiciaires d'appel, qui seront laissés à la charge de l'Etat de Genève (art. 107 al. 2 CPC). Compte tenu de la nature familiale du litige, chaque partie supportera ses propres dépens d'appel (art. 107 al. 1 let. f CPC). * * * * * *</w:t>
      </w:r>
    </w:p>
    <w:p>
      <w:r>
        <w:t>- 12/12 -</w:t>
      </w:r>
    </w:p>
    <w:p>
      <w:r>
        <w:t>C/19750/2017 PAR CES MOTIFS, La Chambre civile : A la forme : Déclare recevable l'appel interjeté le 26 mars 2018 par A______ contre le jugement JTPI/4020/2018 rendu le 12 mars 2018 par le Tribunal de première instance dans la cause C/19750/2017-22. Au fond : Annule ledit jugement. Renvoie la cause au Tribunal pour instruction dans le sens des considérants et nouvelle décision. Déboute les parties de toutes autres conclusions. Sur les frais : Dit qu'il n'est pas perçu de frais judiciaires d'appel et que chaque partie supporte ses propres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février 2012 consid. 2.2; 2C_560/2012 du 2 janvier 2013, consid. 4.4). Le droit d'être entendu – dont le respect doit être examiné en premier lieu (ATF 124 I 49 consid.1) et avec un plein pouvoir d'examen (ATF 140 III 1 consid. 3.1.1) – est une garantie constitutionnelle de nature formelle, dont la violation entraîne, par principe, l'annulation de la décision attaquée, sans égard aux</w:t>
      </w:r>
    </w:p>
    <w:p>
      <w:r>
        <w:t>- 10/12 -</w:t>
      </w:r>
    </w:p>
    <w:p>
      <w:r>
        <w:t>C/19750/2017 chances de succès du recours au fond (ATF 135 I 279 consid. 2.6.1). En d'autres termes, si l'autorité précédente a violé des garanties formelles de procédure, la cassation ("Kassation") de sa décision demeure la règle, dans la mesure où les justiciables peuvent, en principe, se prévaloir de la garantie du double degré de juridiction (ATF 137 I 195 consid. 2.3.2 et 2.7). Toutefois une violation du droit d'être entendu – pour autant qu'elle ne soit pas d'une gravité particulière – peut exceptionnellement être guérie si l'intéressé peut s'exprimer devant une instance de recours ayant libre pouvoir d'examen en fait comme en droit (ATF 137 I 195 consid. 2.2 et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