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ACJC/1495/2023 vom 13. November 2023</w:t>
      </w:r>
    </w:p>
    <w:p>
      <w:r>
        <w:t>GE Cour de justice, 2023-11-13, FR</w:t>
      </w:r>
    </w:p>
    <w:p>
      <w:r>
        <w:rPr>
          <w:b/>
        </w:rPr>
        <w:t xml:space="preserve">Quelle: </w:t>
      </w:r>
      <w:r>
        <w:t>https://mcp.opencaselaw.ch/entscheid/ge_gerichte_ACJC_1495_2023</w:t>
      </w:r>
    </w:p>
    <w:p>
      <w:r>
        <w:t>FR: GE_GERICHTE ACJC/1495/2023 du 13 novembre 2023</w:t>
      </w:r>
    </w:p>
    <w:p>
      <w:r>
        <w:t>IT: GE_GERICHTE ACJC/1495/2023 del 13 novembre 2023</w:t>
      </w:r>
    </w:p>
    <w:p>
      <w:pPr>
        <w:pStyle w:val="Heading2"/>
      </w:pPr>
      <w:r>
        <w:t>Erwägungen</w:t>
      </w:r>
    </w:p>
    <w:p>
      <w:r>
        <w:rPr>
          <w:b/>
        </w:rPr>
        <w:t>E. 1</w:t>
      </w:r>
    </w:p>
    <w:p>
      <w:r>
        <w:t>CPC). Il est ainsi recevable.</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charges comprises, s'élève à 400'000 fr. La valeur litigieuse (400'000 fr. x 3) est largement supérieure à 10'000 fr., de sorte que la voie de l'appel est ouverte.</w:t>
      </w:r>
    </w:p>
    <w:p>
      <w:r>
        <w:t>- 13/21 -</w:t>
      </w:r>
    </w:p>
    <w:p>
      <w:r>
        <w:t>C/19464/2018</w:t>
      </w:r>
    </w:p>
    <w:p>
      <w:r>
        <w:rPr>
          <w:b/>
        </w:rPr>
        <w:t>E. 1.3</w:t>
      </w:r>
    </w:p>
    <w:p>
      <w:r>
        <w:t>L'appel a été interjeté en temps utile, compte tenu des féries judiciaires (art. 145 al. 1 let. c CPC), et suivant la forme prescrite par la loi (art. 130, 131, 311 al.</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soutient que la résiliation de bail du 26 décembre 2018 serait nulle au motif qu'elle serait contraire à la bonne foi dans la mesure où l'intimée savait que les deux gérants de la société se trouvaient en détention et qu'elle ne pouvait dès lors adresser ladite résiliation au siège de la société. Elle était, en outre, alors représentée par Me T______.</w:t>
      </w:r>
    </w:p>
    <w:p>
      <w:r>
        <w:rPr>
          <w:b/>
        </w:rPr>
        <w:t>E. 2.1</w:t>
      </w:r>
    </w:p>
    <w:p>
      <w:r>
        <w:t>Selon l'art. 273 al. 1 CO, la partie qui veut contester le congé doit saisir l'autorité de conciliation dans les 30 jours qui suivent la réception du congé. La communication du congé obéit en droit du bail à la théorie de la réception absolue (ATF 143 III 15 consid. 4.1; 140 III 244 consid. 5; 137 III 208 consid. 3.1.2; 118 II 42 consid. 3; 107 II 189 consid. 2). La résiliation du bail est une décision unilatérale de volonté de l'une des parties au contrat, qui est soumise à réception. La théorie de la réception absolue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143 III 15 consid. 4.1; 137 III 208 consid. 3.1.2). En principe, le congé est valablement notifié par le bailleur à l'adresse de correspondance indiquée dans le contrat de bail, laquelle correspond en général à l'adresse de l'objet loué dans les baux d'habitation.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w:t>
      </w:r>
    </w:p>
    <w:p>
      <w:r>
        <w:t>- 14/21 -</w:t>
      </w:r>
    </w:p>
    <w:p>
      <w:r>
        <w:t>C/19464/2018 cette adresse lui a été communiquée par le locataire, commet en règle générale un abus de droit (art. 2 al. 2 CC) s'il se prévaut néanmoins d'une notification à l'adresse du bail (arrêt du Tribunal fédéral 4A_67/2021 du 8 avril 2021 consid. 5.2; 4A_74/2011 du 2 mai 2011 consid. 3; BOHNET, Bail et notification viciée, in: Newsletter Bail.ch juillet 2011).</w:t>
      </w:r>
    </w:p>
    <w:p>
      <w:r>
        <w:rPr>
          <w:b/>
        </w:rPr>
        <w:t>E. 2.2</w:t>
      </w:r>
    </w:p>
    <w:p>
      <w:r>
        <w:t>En l'espèce, la bailleresse a adressé la résiliation de bail du 26 décembre 2018 à l'appelante à l'adresse des locaux loués, comme elle devait le faire en application du principe général applicable en la matière. H______ SA avait certes connaissance de la détention provisoire des représentants de la locataire à cette date. Ladite détention durait toutefois, à cette date, depuis une vingtaine de jours, soit un délai suffisant pour permettre aux précités et à l'appelante de s'organiser pour réceptionner son courrier. De plus, les représentants de la locataire devaient s'attendre, avant même leur mise en détention, à ce que des actes soient notifiés à la société locataire de la part de la bailleresse. En effet, cette dernière l'avait mise en demeure, par courrier du 23 octobre 2018, soit avant la mise en détention de ses représentants intervenue le 5 décembre 2018, de s'acquitter dans un délai de 60 jours du loyer en 100'000 fr. correspondant au premier trimestre pour la location de l'HÔTEL C______ dû le 30 septembre 2018, précisant ne pas être liée par le courrier reportant cette échéance. Quelques jours plus tard, la bailleresse a procédé à la résiliation du bail portant cette fois sur les locaux de l'AUBERGE N______, en raison du non-paiement des arriérés de loyer. Dès lors, les représentants de la locataire connaissaient la position de la bailleresse quant au paiement du loyer de l'HÔTEL C______ et du fait qu'à défaut de paiement, elle engagerait une procédure judiciaire puisqu'elle l'avait fait pour l'autre établissement. En tout état de cause, la détention des gérants de la société n'excluait pas, même sans que des mesures particulières soient prises, que d'autres personnes soient habilitées à recevoir le courrier recommandé contenant la résiliation de bail, telle une employée, soit en l'occurrence la comptable de la société et mère de E______. Le Tribunal l'a d'ailleurs relevé, sans que l'appelante ne le conteste de manière motivée. Concernant une éventuelle obligation d'adresser la résiliation de bail à Me T______, celui-ci avait informé la bailleresse, le 5 décembre 2018, par deux plis séparés, être chargé de la défense de l'appelante, avec élection de domicile en son étude, référence faite aux procédures pendantes en annulation des résiliations fondées sur l'existence d'une sous-location non autorisée (causes C/19464/2018 et C/4______/2018). L'élection de domicile ne concernait dès lors pas la résiliation de bail pour défaut de paiement, alors même que celle-ci avait été précédée par l'envoi, le 23 octobre 2018, soit antérieurement au courrier de Me T______ du</w:t>
      </w:r>
    </w:p>
    <w:p>
      <w:r>
        <w:rPr>
          <w:b/>
        </w:rPr>
        <w:t>E. 5</w:t>
      </w:r>
    </w:p>
    <w:p>
      <w:r>
        <w:t>Au vu de ce qui précède, le jugement sera confirmé dans son intégralité.</w:t>
      </w:r>
    </w:p>
    <w:p>
      <w:r>
        <w:t>- 19/21 -</w:t>
      </w:r>
    </w:p>
    <w:p>
      <w:r>
        <w:t>C/19464/2018</w:t>
      </w:r>
    </w:p>
    <w:p>
      <w:r>
        <w:rPr>
          <w:b/>
        </w:rPr>
        <w:t>E. 6</w:t>
      </w:r>
    </w:p>
    <w:p>
      <w:r>
        <w:t>A teneur de l'art. 22 al. 1 LaCC, il n'est pas prélevé de frais dans les causes soumises à la juridiction des baux et loyers (ATF 139 III 182 consid. 2.6). * * * * *</w:t>
      </w:r>
    </w:p>
    <w:p>
      <w:r>
        <w:t>- 20/21 -</w:t>
      </w:r>
    </w:p>
    <w:p>
      <w:r>
        <w:t>C/19464/2018</w:t>
      </w:r>
    </w:p>
    <w:p>
      <w:r>
        <w:t>PAR CES MOTIFS, La Chambre des baux et loyers : A la forme : Déclare recevable l'appel interjeté le 1er février 2023 par A______ SARL contre le jugement JTBL/984/2022 rendu le 21 décembre 2022 par le Tribunal des baux et loyers dans la cause C/19464/2018. Au fond : Confirme ce jugement. Dit que la procédure est gratuite. Déboute les parties de toutes autres conclusions. Siégeant : Madame Nathalie LANDRY-BARTHE, présidente; Madame Sylvie DROIN et Monsieur Laurent RIEBEN, juges; Madame Laurence MIZRAHI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- 21/21 -</w:t>
      </w:r>
    </w:p>
    <w:p>
      <w:r>
        <w:t>C/19464/2018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