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ACJC/1492/2016 vom 14. November 2016</w:t>
      </w:r>
    </w:p>
    <w:p>
      <w:r>
        <w:t>GE Cour de justice, 2016-11-14, FR</w:t>
      </w:r>
    </w:p>
    <w:p>
      <w:r>
        <w:rPr>
          <w:b/>
        </w:rPr>
        <w:t xml:space="preserve">Quelle: </w:t>
      </w:r>
      <w:r>
        <w:t>https://mcp.opencaselaw.ch/entscheid/ge_gerichte_ACJC_1492_2016</w:t>
      </w:r>
    </w:p>
    <w:p>
      <w:r>
        <w:t>FR: GE_GERICHTE ACJC/1492/2016 du 14 novembre 2016</w:t>
      </w:r>
    </w:p>
    <w:p>
      <w:r>
        <w:t>IT: GE_GERICHTE ACJC/1492/2016 del 14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w:t>
      </w:r>
    </w:p>
    <w:p>
      <w:r>
        <w:t>- 10/15 -</w:t>
      </w:r>
    </w:p>
    <w:p>
      <w:r>
        <w:t>C/10311/2015 al. 2 CPC). La détermination de la valeur litigieuse suit les mêmes règles que pour la procédure devant le Tribunal fédéral (RETORNAZ in : Procédure civile suisse, Les grands thèmes pour les praticiens, Neuchâtel, 2010, p. 363; SPÜHLER, BSK ZPO, 2ème éd., n. 8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du logement, charges comprises, s'élève à 7'200 fr.</w:t>
      </w:r>
    </w:p>
    <w:p>
      <w:r>
        <w:t>En prenant en compte la durée de protection de trois ans, la valeur litigieuse est supérieure à 10'000 fr. (7'200 fr. x 3 ans = 21'600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Selon l'art. 312 al. 2 CPC, la réponse doit être déposée dans un délai de 30 jours.</w:t>
      </w:r>
    </w:p>
    <w:p>
      <w:r>
        <w:t>La bailleresse a répondu à l’appel de la locataire, par écriture du 3 juin 2016, intervenue dans le délai de 30 jours qui lui a été imparti le 4 mai 2016.</w:t>
      </w:r>
    </w:p>
    <w:p>
      <w:r>
        <w:t>En revanche, ses correspondances, des 13 juin, 18 juillet et 6 septembre 2016, interviennent en dehors de ce délai, avant que la cause ne soit gardée à juger, et il s'agit d'un fait nouveau recevable.</w:t>
      </w:r>
    </w:p>
    <w:p>
      <w:r>
        <w:t>Elles ne sauraient par ailleurs être prises en compte sous l’angle du droit de réplique, qui vise le droit conféré à la partie de se déterminer sur toute prise de position versée au dossier quel que soit sa dénomination procédurale (ATF 142 III 48 consid. 4.1.1).</w:t>
      </w:r>
    </w:p>
    <w:p>
      <w:r>
        <w:t>Il n’y a ainsi pas de possibilité de répliquer en dehors d’une prise de position de sa partie adverse, à défaut de quoi, l’on prolongerait à l’envie le délai pour répondre.</w:t>
      </w:r>
    </w:p>
    <w:p>
      <w:r>
        <w:t>En conséquence, les courriers de la bailleresse des 13 juin, 18 juillet et</w:t>
      </w:r>
    </w:p>
    <w:p>
      <w:r>
        <w:rPr>
          <w:b/>
        </w:rPr>
        <w:t>E. 6</w:t>
      </w:r>
    </w:p>
    <w:p>
      <w:r>
        <w:t>A teneur de l'art. 22 al. 1 LaCC, il n'est pas prélevé de frais dans les causes soumises à la juridiction des baux et loyers, étant rappelé que l'art. 116 al. 1 CPC</w:t>
      </w:r>
    </w:p>
    <w:p>
      <w:r>
        <w:t>- 14/15 -</w:t>
      </w:r>
    </w:p>
    <w:p>
      <w:r>
        <w:t>C/10311/2015 autorise les cantons à prévoir des dispenses de frais dans d'autres litiges que ceux visés à l'art. 114 CPC (ATF 139 III 182 consid. 2.6). * * * * *</w:t>
      </w:r>
    </w:p>
    <w:p>
      <w:r>
        <w:t>- 15/15 -</w:t>
      </w:r>
    </w:p>
    <w:p>
      <w:r>
        <w:t>C/10311/2015 PAR CES MOTIFS, La Chambre des baux et loyers : A la forme : Déclare recevable l'appel interjeté le 3 mai 2016 par A.______ contre le jugement JTBL/298/2016 rendu le 24 mars 2016 par le Tribunal des baux et loyers dans la cause C/10311/2015-5.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