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ACJC/1491/2022 vom 18. November 2022</w:t>
      </w:r>
    </w:p>
    <w:p>
      <w:r>
        <w:t>GE Cour de justice, 2022-11-18, FR</w:t>
      </w:r>
    </w:p>
    <w:p>
      <w:r>
        <w:rPr>
          <w:b/>
        </w:rPr>
        <w:t xml:space="preserve">Quelle: </w:t>
      </w:r>
      <w:r>
        <w:t>https://mcp.opencaselaw.ch/entscheid/ge_gerichte_ACJC_1491_2022</w:t>
      </w:r>
    </w:p>
    <w:p>
      <w:r>
        <w:t>FR: GE_GERICHTE ACJC/1491/2022 du 18 novembre 2022</w:t>
      </w:r>
    </w:p>
    <w:p>
      <w:r>
        <w:t>IT: GE_GERICHTE ACJC/1491/2022 del 18 novembre 2022</w:t>
      </w:r>
    </w:p>
    <w:p>
      <w:pPr>
        <w:pStyle w:val="Heading2"/>
      </w:pPr>
      <w:r>
        <w:t>Erwägungen</w:t>
      </w:r>
    </w:p>
    <w:p>
      <w:r>
        <w:rPr>
          <w:b/>
        </w:rPr>
        <w:t>E. 1.1</w:t>
      </w:r>
    </w:p>
    <w:p>
      <w:r>
        <w:t>Interjeté contre un jugement de divorce rendu sur requête commune de divorce, soit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art. 289, art. 308 al. 1 let. a et al. 2 CPC; TAPPY, Commentaire Romand, CPC, 2019, n. 8, 9 et 15 ss ad art. 289 CPC), dans le délai utile de trente jours et selon la forme prescrite par la loi (art. 130 al. 1, art. 142 al. 1 et 3, art. 145 al. 1 let. b et art. 311 al. 1 CPC), l'appel est formellement recevable.</w:t>
      </w:r>
    </w:p>
    <w:p>
      <w:r>
        <w:rPr>
          <w:b/>
        </w:rPr>
        <w:t>E. 1.2</w:t>
      </w:r>
    </w:p>
    <w:p>
      <w:r>
        <w:t>L'appel joint a été formé simultanément à la réponse sur appel principal. Il est donc recevable (art. 313 al. 1 CPC).</w:t>
      </w:r>
    </w:p>
    <w:p>
      <w:r>
        <w:rPr>
          <w:b/>
        </w:rPr>
        <w:t>E. 1.3</w:t>
      </w:r>
    </w:p>
    <w:p>
      <w:r>
        <w:t>Il en va de même des déterminations subséquentes des parties.</w:t>
      </w:r>
    </w:p>
    <w:p>
      <w:r>
        <w:rPr>
          <w:b/>
        </w:rPr>
        <w:t>E. 1.4</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w:t>
      </w:r>
    </w:p>
    <w:p>
      <w:r>
        <w:rPr>
          <w:b/>
        </w:rPr>
        <w:t>E. 1.5</w:t>
      </w:r>
    </w:p>
    <w:p>
      <w:r>
        <w:t>L'appelant a produit de nouvelles pièces à l'appui de son appel et l'intimée en a fait de même avec sa duplique. La recevabilité desdites pièces, ainsi que des allégués qui s'y rapportent peut souffrir de demeurer indécise, compte tenu des développements qui vont suivre.</w:t>
      </w:r>
    </w:p>
    <w:p>
      <w:r>
        <w:rPr>
          <w:b/>
        </w:rPr>
        <w:t>E. 2</w:t>
      </w:r>
    </w:p>
    <w:p>
      <w:r>
        <w:t>En l'espèce, l'appel ne vise que les effets accessoires du divorce, soit plus spécifiquement le montant de la contribution à l'entretien de l'enfant mineur des parties, réglé par le chiffre 4 du dispositif du jugement attaqué. L'appelant reproche au Tribunal d'avoir ratifié "de façon incompréhensible, une convention qui prévoit le versement d'une contribution d'entretien à hauteur de CHF 900.00 pour I______", montant qui "ne tient pas compte [de son] minimum vital".</w:t>
      </w:r>
    </w:p>
    <w:p>
      <w:r>
        <w:t>- 6/13 -</w:t>
      </w:r>
    </w:p>
    <w:p>
      <w:r>
        <w:t>C/4081/2021 Quant à l'appel joint, il a trait aux frais extraordinaires de l'enfant. L'intimée soutient que "le montant de la contribution d'entretien de CHF 500.- par mois est insuffisant pour pouvoir couvrir les dépenses courantes et les dépenses extraordinaires de I______, adolescente de 15 ans". 2.1.1 Lorsque l'appel vise le principe du divorce, la décision de divorce sur requête commune ne peut faire l'objet que d'un appel pour vice du consentement (art. 289 CPC). En revanche, lorsque l'appel vise les effets accessoires, les griefs ne sont pas limités et la ratification de la convention sur les effets accessoires du divorce peut être remise en cause dans le cadre d'un appel – ou d'un recours, selon la valeur du litige – pour violation de l'art. 279 al. 1 CPC, soit pour des griefs visant le processus d'homologation de la convention de divorce par le juge, ou pour vices de la volonté (arrêts du Tribunal fédéral 5A_270/2021 du 12 juillet 2021 consid. 9.1; 5A_96/2018 du 13 août 2018 consid. 2.2.3; 5A_121/2016 du 8 juillet 2016 consid. 4; 5A_683/2014 du 18 mars 2015 consid. 6.1). 2.1.2 Aux termes de l'art. 279 CPC - qui reprend en substance l'art. 140 aCC (arrêts du Tribunal fédéral 5A_74/2014 du 5 août 2014 consid. 2; 5A_721/2012 du 17 janvier 2013 consid. 3.2.1, publié in FamPra.ch 2013 p. 775 et les auteurs cités),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La convention n'est valable qu'une fois ratifiée par le tribunal. Elle doit figurer dans le dispositif de la décision (al. 2). Cette disposition s'applique à toutes les conventions relatives aux conséquences patrimoniales entraînées par le divorce. Il importe peu qu'elles aient été conclues avant ou pendant la procédure de divorce, avant ou pendant le mariage (arrêts du Tribunal fédéral 5A_40/2011 du 21 juin 2011 consid. 3.3; 5A_599/2007 du 2 octobre 2008 consid. 6.1, publié in FamPra.ch 2009 p. 749; 5C. 270/2004 du 14 juillet 2005 consid. 4.1, publié in FamPra.ch 2006 p. 438 et les références). La convention sur les effets accessoires produite avec une demande unilatérale en divorce lie les parties, qui ne peuvent que demander au juge de ne pas la ratifier (ATF 135 III 193 consid. 2.2; arrêts du Tribunal fédéral 5A_501/2015 du 12 janvier 2016 consid. 3.1.1; 5A_688/2013 du 14 avril 2014 consid. 7.2.1; 5A_187/2013 du 4 octobre 2013 consid. 4; 5A_644/2009 du 14 avril 2010 consid. 2.1 et 2.4). Il en est également ainsi lorsque le conjoint consent au divorce ou dépose une demande reconventionnelle en divorce. En effet, ce n'est que si la convention sur les effets accessoires a été conclue et produite à l'appui d'une requête commune en divorce au sens des art. 111 ou 112 CC qu'elle est librement révocable (arrêt du Tribunal fédéral 5A_688/2013 du 14 avril 2014 consid. 7.2.1; ATF 135 III 192 consid. 2.2; cf. HOHL, Procédure civile, Tome II, 2e éd. 2010, n. 2014 s.).</w:t>
      </w:r>
    </w:p>
    <w:p>
      <w:r>
        <w:t>- 7/13 -</w:t>
      </w:r>
    </w:p>
    <w:p>
      <w:r>
        <w:t>C/4081/2021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5A_74/2014 du 5 août 2014 consid. 3.1; 5A_838/2009 du 6 mai 2010 consid. 4.2.1, publié in FamPra.ch 2010 p. 669; 5A_626/2007 du 2 octobre 2008 consid. 6.4.1, publié in FamPra.ch 2009 p. 749; 5C.163/2006 du 3 novembre 2006 consid. 4.1; 5C.270/2004 du 14 juillet 2005 consid. 5.4.2; cf. aussi ATF 121 III 393 consid. 5c; SUTTER/FREIBURGHAUS, Kommentar zum neuen Scheidungsrecht, Zurich 1999, n. 71 ad art. 140 aCC). Le juge dispose à cet égard d'un large pouvoir d'appréciation (SUTTER/FREIBURGHAUS, op. cit., n. 72 ad art. 140 aCC), l'adverbe «manifestement» utilisé par le législateur montrant que seuls des écarts importants par rapport à une solution équitable peuvent conduire à un refus de ratifier (TAPPY, op. cit., n. 22 ad art. 279 CPC).</w:t>
      </w:r>
    </w:p>
    <w:p>
      <w:r>
        <w:t>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du Tribunal fédéral 5A_683/2014 du 18 mars 2015 consid. 5.1; 5A_772/2014 du 17 mars 2015 consid. 7.1 et 7.3; 5A_74/2014 du</w:t>
      </w:r>
    </w:p>
    <w:p>
      <w:r>
        <w:rPr>
          <w:b/>
        </w:rPr>
        <w:t>E. 2.2</w:t>
      </w:r>
    </w:p>
    <w:p>
      <w:r>
        <w:t>Dans le présent cas, l'appelant reproche au Tribunal d'avoir ratifié la convention réglant l'ensemble des effets accessoires du divorce, dont notamment la contribution à l'entretien de l'enfant, qu'il a signée. Il a, devant le Tribunal, confirmé son accord avec celle-ci et l'avoir signée après mûre réflexion et de son plein gré. Il soutient que la contribution d'entretien qu'il doit verser pour l'entretien de sa fille I______ ne tient pas compte de son minimum vital. L'appelant reproche ainsi une violation du processus d'homologation de la convention soumise par les parties au Tribunal. Il convient dès lors d'examiner si la contribution d'entretien ratifiée par le premier juge est manifestement inéquitable, au sens des jurisprudences citées ci-avant. La situation modeste de la famille impose de s'en tenir au minimum vital. En effet, les revenus de l'appelant s'élèvent à 4'350 fr. par mois (cf ci-après) et ceux de l'intimée à 4'227 fr. Par conséquent, seules les charges suivantes seront considérées : le montant de base OP, le loyer, et la prime d'assurance-maladie obligatoire. Les impôts seront écartés, de même que les primes d'assurance- maladie complémentaire. Il résulte des fiches de salaire de l'année 2020 produites par l'appelant devant le Tribunal que son salaire mensuel net, 13ème salaire compris, était de 4'000 fr. 95, après déduction de notamment 350 fr. de frais de "nourriture et logement". Dans la mesure où lesdits frais sont pris en considération tant dans le montant de base OP que dans celui du loyer, il y a lieu de retenir que le montant du salaire mensuel net de l'appelant est de 4'350 fr. arrondis. Ses charges mensuelles seront arrêtées à 3'171 fr., soit 1'200 fr. de montant de base OP, 471 fr. de prime d'assurance-maladie de base et 1'500 fr. de loyer (estimation, compte tenu du fait que l'appelant doit bénéficier d'un appartement de 3 à 4 pièces pour exercer son droit de visite). Le solde disponible de l'appelant est dès lors de 1'179 fr. La contribution de 900 fr. qu'il s'est engagé à verser pour l'entretien de sa fille I______ n'entame par conséquent pas son minimum vital.</w:t>
      </w:r>
    </w:p>
    <w:p>
      <w:r>
        <w:t>- 10/13 -</w:t>
      </w:r>
    </w:p>
    <w:p>
      <w:r>
        <w:t>C/4081/2021 Même à prendre en compte les impôts de l'appelant, ceux-ci sont estimés à 179 fr. 75 par mois selon la calculette en ligne (Estimer mon impôt et modifier mes acomptes | ge.ch; en prenant en compte le salaire brut de 56'482 fr., 3'254 fr. de charges sociales et 1'331 fr. de cotisations au 2ème pilier, 1'557 fr. de frais professionnels, 6'772 fr. de primes d'assurance-maladie et 10'800 fr. de contributions d'entretien), de sorte qu'il disposerait de 999 fr. 25 de solde, pour régler la contribution à l'entretien de I______. Il n'est par ailleurs à juste titre pas contesté que dans la mesure où l'essentiel des soins et de l'encadrement de l'enfant est assuré par l'intimée, il incombe à l'appelant d'assumer entièrement la charge financière de I______.</w:t>
      </w:r>
    </w:p>
    <w:p>
      <w:r>
        <w:rPr>
          <w:b/>
        </w:rPr>
        <w:t>E. 2.3</w:t>
      </w:r>
    </w:p>
    <w:p>
      <w:r>
        <w:t>Par conséquent, en comparant la solution conventionnelle avec le jugement qui aurait été rendu en l'absence de transaction, il ne peut pas être retenu qu'il existât une différence immédiatement reconnaissable, qui s'écartât par ailleurs de la réglementation légale. Ainsi, la convention conclue par les parties n'est pas manifestement inéquitable, de sorte que les chiffres 2, 4 et 14 du dispositif du jugement entrepris seront confirmés.</w:t>
      </w:r>
    </w:p>
    <w:p>
      <w:r>
        <w:rPr>
          <w:b/>
        </w:rPr>
        <w:t>E. 2.4</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2.5</w:t>
      </w:r>
    </w:p>
    <w:p>
      <w:r>
        <w:t>En l'espèce, l'intimée, qui ne critique pas en tant que tel la contribution d'entretien de 900 fr., homologuée par le Tribunal, soutient que la fixation d'une contribution de 500 fr., telle que requise par l'appelant, est insuffisante pour couvrir les dépenses courantes et celles extraordinaires de leur enfant. Dans la mesure où le jugement, en tant qu'il donne acte à l'appelant de son engagement à verser 900 fr. par mois à titre de contribution à l'entretien de I______ est confirmé, l'appel joint paraît sans objet, voire infondé. En tout état, l'intimée n'a pas fait état de frais extraordinaires précis et étayés par pièces, de sorte qu'il ne peut être fait droit à sa conclusion.</w:t>
      </w:r>
    </w:p>
    <w:p>
      <w:r>
        <w:rPr>
          <w:b/>
        </w:rPr>
        <w:t>E. 2.6</w:t>
      </w:r>
    </w:p>
    <w:p>
      <w:r>
        <w:t>Le jugement entrepris sera par conséquent intégralement confirmé. 3. Les frais judiciaires de la procédure d'appel (appel et appel joint) seront fixés à 2'500 fr. (art. 30 et 35 RTFMC). Compte tenu de l'issue de la procédure et de la nature familiale du litige (art. 95 al. 1 let. a et al. 2, 104 al. 1, 105 al. 1, 106 al. 2 et 107 al. 1 let. c CPC), les frais seront supportés par moitié entre les parties. Les parties plaidant au bénéfice de l'assistance judiciaire, les frais à leur charge, soit 1'250 fr. seront provisoirement supportés par l'Etat de Genève, lequel pourra en réclamer le remboursement ultérieurement (art. 122 al. 1 let. b, 123 al. 1 CPC et 19 RAJ). Compte tenu de la nature familiale du litige, chaque partie supportera ses propres dépens d'appel (art. 95 al. 1 let. b et al. 3 et 107 al. 1 let c. CPC). * * * * *</w:t>
      </w:r>
    </w:p>
    <w:p>
      <w:r>
        <w:t>- 12/13 -</w:t>
      </w:r>
    </w:p>
    <w:p>
      <w:r>
        <w:t>C/4081/2021 PAR CES MOTIFS, La Chambre civile : A la forme : Déclare recevables l'appel interjeté le 11 novembre 2021 par A______ contre les chiffres 2, 4 et 14 du dispositif du jugement JTPI/8472/2021 rendu le 25 juin 2021 par le Tribunal de première instance dans la cause C/4081/2021 et l'appel joint interjeté le 31 mars 2022 par B______ contre ces mêmes chiffres. Au fond : Confirme le jugement. Déboute les parties de toutes autres conclusions. Sur les frais : Arrête les frais judiciaires de la procédure d'appel à 2'500 fr. et les met à la charge des parties pour moitié chacune. Dit que les frais judiciaires mis à la charge de A______, de 1'250 fr., et ceux mis à la charge de B______, de 1'250 fr., sont provisoirement supportés par l'Etat de Genève, sous réserve d'une décision inverse des Services de l'assistance judiciaire.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- 13/13 -</w:t>
      </w:r>
    </w:p>
    <w:p>
      <w:r>
        <w:t>C/4081/2021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août 2014 consid. 3.1 et les arrêts cités; VAN DE GRAAF, in Kurzkommentar ZPO, 2e éd. 2014, n. 11 ad art. 270 CPC; SPYCHER, in Berner Kommentar, Schweizerische Zivilprozessordnung, vol. II, 2012, n. 30 ad art. 279 CPC; DOLGE, in Schweizerische Zivilprozessordnung, Brunner/Gasser/Schwander [éd.], 2011, n. 9 ss ad art. 279 CPC).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du Tribunal fédéral 5A_683/2014 précité, consid. 5.1; TAPPY, op. cit., n. 21 et 7 ad art. 279 CPC). 2.1.3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- 8/13 -</w:t>
      </w:r>
    </w:p>
    <w:p>
      <w:r>
        <w:t>C/4081/2021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 Selon cette méthode, on examine les ressources et besoins des personnes intéressées, puis les ressources sont réparties d'une manière correspondant aux besoins des ayants-droits selon un certain ordre (ATF 147 III 265 précité,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Il convient de procéder par étapes, par exemple en tenant compte d'abord des impôts de toutes les personnes intéressées, puis en ajoutant chez chaque personne les forfaits de communication et d'assurance, etc. L'éventuel 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Seules les charges effectives, dont le débirentier ou le crédirentier s'acquitte réellement doivent être prises en compte (ATF 140 III 337 précité consid. 4.2.3, arrêt du Tribunal fédéral 5A_405/2019 du 24 février 2020 consid. 5.2 et les références).</w:t>
      </w:r>
    </w:p>
    <w:p>
      <w:r>
        <w:t>- 9/13 -</w:t>
      </w:r>
    </w:p>
    <w:p>
      <w:r>
        <w:t>C/4081/2021 Dans tous les cas, le minimum vital du droit des poursuites du débirentier doit être préservé (ATF 147 III 265 précité consid. 7.3; arrêt du Tribunal fédéral 5A_450/2020 du 4 janvier 2021 consid. 5.3). Plus la situation financière des parties est serrée, moins le juge devra s'écarter des principes développés pour la détermination du minimum vital au sens de l'art. 93 LP (ATF 140 III 337 consid. 4.2.3; arrêts du Tribunal fédéral 5A_329/2016 du 6 décembre 2016 consid. 4.1; 5A_1029/2015 du 1er juin 2016 consid. 3.3.1.3).</w:t>
      </w:r>
    </w:p>
    <w:p>
      <w:r>
        <w:rPr>
          <w:b/>
        </w:rPr>
        <w:t>E. 9</w:t>
      </w:r>
    </w:p>
    <w:p>
      <w:r>
        <w:t>juin 2017 consid. 6.3).</w:t>
      </w:r>
    </w:p>
    <w:p>
      <w:r>
        <w:t>- 11/13 -</w:t>
      </w:r>
    </w:p>
    <w:p>
      <w:r>
        <w:t>C/4081/2021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