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ACJC/1491/2016 vom 14. November 2016</w:t>
      </w:r>
    </w:p>
    <w:p>
      <w:r>
        <w:t>GE Cour de justice, 2016-11-14, FR</w:t>
      </w:r>
    </w:p>
    <w:p>
      <w:r>
        <w:rPr>
          <w:b/>
        </w:rPr>
        <w:t xml:space="preserve">Quelle: </w:t>
      </w:r>
      <w:r>
        <w:t>https://mcp.opencaselaw.ch/entscheid/ge_gerichte_ACJC_1491_2016</w:t>
      </w:r>
    </w:p>
    <w:p>
      <w:r>
        <w:t>FR: GE_GERICHTE ACJC/1491/2016 du 14 novembre 2016</w:t>
      </w:r>
    </w:p>
    <w:p>
      <w:r>
        <w:t>IT: GE_GERICHTE ACJC/1491/2016 del 14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 l'art.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w:t>
      </w:r>
    </w:p>
    <w:p>
      <w:r>
        <w:rPr>
          <w:b/>
        </w:rPr>
        <w:t>E. 1.2</w:t>
      </w:r>
    </w:p>
    <w:p>
      <w:r>
        <w:t>En l'espèce, le loyer annuel des locaux s'élève à 12'840 fr., charges comprises. En prenant en compte la période de trois ans précitée, la valeur litigieuse est supérieure à 10'000 fr. (12'840 fr. x 3 ans = 38'520 fr.). La voie de l'appel est ainsi ouverte.</w:t>
      </w:r>
    </w:p>
    <w:p>
      <w:r>
        <w:rPr>
          <w:b/>
        </w:rPr>
        <w:t>E. 1.3</w:t>
      </w:r>
    </w:p>
    <w:p>
      <w:r>
        <w:t>L'appel a été interjeté dans le délai et suivant la forme prescrits par la loi (art. 130, 131, 311 al. 1 CPC), de sorte qu'il est recevable.</w:t>
      </w:r>
    </w:p>
    <w:p>
      <w:r>
        <w:t>- 5/8 -</w:t>
      </w:r>
    </w:p>
    <w:p>
      <w:r>
        <w:t>C/4031/2015</w:t>
      </w:r>
    </w:p>
    <w:p>
      <w:r>
        <w:rPr>
          <w:b/>
        </w:rPr>
        <w:t>E. 1.4</w:t>
      </w:r>
    </w:p>
    <w:p>
      <w:r>
        <w:t>La Cour revoit la cause avec un plein pouvoir d'examen (art. 310 CPC; HOHL, Procédure civile, tome II, 2010, n. 2314 et 2416; RETORNAZ, in Procédure civile suisse, Les grand thèmes pour les praticiens, Neuchâtel, 2010, p. 349 ss, n. 121).</w:t>
      </w:r>
    </w:p>
    <w:p>
      <w:r>
        <w:rPr>
          <w:b/>
        </w:rPr>
        <w:t>E. 1.5</w:t>
      </w:r>
    </w:p>
    <w:p>
      <w:r>
        <w:t>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BOHNET/HALDY/JEANDIN/SCHWEIZER/TAPPY [éd.], 2011, n. 6 ad art. 316 CPC). En l'espèce, la procédure simplifiée s'applique (art. 243 al. 2 let. c CPC), s'agissant d'une procédure relative à la protection contre les congés. La maxime inquisitoire sociale régit la procédure (art. 247 al. 2 let. a CPC). 2. L'appelant fait valoir que le congé ne remplirait pas les conditions de l'art. 257f al. 3 CO dans la mesure où la mise en demeure du 23 décembre 2014 "lui a été adressée tardivement puisqu'elle lui est parvenue une quinzaine de jours seulement avant la résiliation du bail". Par ailleurs, il soutient que le congé devrait être annulé, dans la mesure où il contreviendrait aux règles de la bonne foi au sens de l'art. 271 al. 1 CO. 2.1 Selon la jurisprudence, l'art. 257f al. 3 CO permet au bailleur de résilier un bail d'habitation dans un délai de trente jours pour la fin d'un mois lorsque le locataire, malgré un avertissement écrit, passe outre le refus fondé du bailleur de consentir à la sous-location (ATF 134 III 300 consid. 3.1). Une sous-location licite (art. 262 CO) suppose que le locataire ait l'intention de réutiliser lui-même l'objet loué dans un avenir prévisible; de vagues intentions dans ce sens ne suffisent pas. Il y a lieu d'être relativement restrictif afin d'éviter que le droit à la sous-location ne soit dénaturé. A défaut, le bailleur peut opposer son refus (ATF 138 III 59 consid. 2.2.1). Le bailleur qui donne un tel congé supporte le fardeau de la preuve de validité du congé (ATF 138 III 59 consid. 2.1). Il doit prouver que les conditions d'une résiliation anticipée sont données et, partant, que la sous-location n'est pas licite, par exemple parce que le locataire n'a pas l'intention de réutiliser lui-même l'objet loué dans un avenir prévisible (arrêt du Tribunal fédéral 4A_430/2013 du 14 février 2014 consid. 4.2). 2.2 Selon la théorie de la réception absolue, applicable généralement en droit du bail, une lettre recommandée est réputée parvenir à son destinataire dès que l'agent postal la lui remet ou dès qu'il est en mesure d'en prendre connaissance au bureau de la poste selon l'avis de retrait; il s'agit du jour même où l'avis de retrait est déposé dans la boîte aux lettres si l'on peut attendre du destinataire qu'il le retire aussitôt, sinon en règle générale le lendemain de ce jour (ATF 140 III 244 consid. 5.1).</w:t>
      </w:r>
    </w:p>
    <w:p>
      <w:r>
        <w:t>- 6/8 -</w:t>
      </w:r>
    </w:p>
    <w:p>
      <w:r>
        <w:t>C/4031/2015 2.3 La résiliation du bail est annulable uniquement si elle contrevient aux règles de la bonne foi. Ces règles sont notamment violées lorsque la résiliation est purement chicanière, ne répond à aucun intérêt objectif, sérieux et digne de protection, ou se fonde sur un motif qui ne constitue manifestement qu'un prétexte. Il en découle en particulier que le congé donné à un locataire qui sous- loue sans droit l'objet loué ne prête pas à critique; sauf dans le cas où le bailleur y a consenti en toute connaissance de cause, la sous-location n'est pas autorisée si le locataire n'a pas l'intention de réoccuper lui-même l'objet loué dans un avenir prévisible (art. 271 CO; ATF 138 III 59 consid. 2.1 et 2.2.1, 136 III 190 consid. 2). Il n'y a pas de rapport juridique entre le bailleur principal et le sous- locataire; sous réserve d'un bail principal fictif (cf. art. 273b al. 2 CO), le sous- locataire ne peut donc pas contester la résiliation du bail principal. De son côté, le locataire, pour contester la résiliation du bail principal, ne peut pas se prévaloir de conséquences pénibles pour son sous-locataire; celles-ci sont sans pertinence (arrêt du Tribunal fédéral 4A_366/2012 du 3 septembre 2012 consid. 2.1). 2.4 Dans le cadre de la résiliation de l'art. 257f al. 3 CO, le bailleur est en droit de se dispenser de signifier une protestation, s'il apparaît à l'évidence qu'elle sera inutile (art. 108 ch. 1 CO par analogie; WESSNER, in Droit du bail à loyer, Bâle, 2010, n° 35 ad art. 257f CO). 2.5 En l'espèce, la bailleresse a mis en demeure le locataire de mettre un terme à la sous-location non autorisée, sous menace de résilier le bail avec effet immédiat, par courrier du 23 décembre 2014. Cet avertissement pouvait être notifié à l'adresse des locaux loués, ce que le locataire ne conteste d'ailleurs pas. Le pli recommandé contenant la mise en demeure n'a pas été retiré à la poste par le locataire, qui avait été avisé pour retrait le 24 décembre 2014, avec un délai de garde venant à échéance le 3 janvier 2015. Indépendamment de la théorie de la réception absolue, ledit pli recommandé est réputé avoir été reçu au plus tard le 3 janvier 2015. La fin de la sous-location illicite pouvait ainsi être exigée avant la date de la résiliation, soit avant le 3 février 2015, un délai d'un mois étant suffisant. En tout état, la bailleresse pouvait se dispenser d'une mise en demeure, dans la mesure où le locataire, comme il l'a indiqué lors de la procédure, n'avait aucune intention de réintégrer le logement litigieux. L'appelant ne conteste pas la réalisation des autres conditions de l'art. 257f al. 3 CO, de sorte que c'est à juste titre que le Tribunal a admis que la bailleresse pouvait résilier le bail avec effet au 31 mars 2015. Par ailleurs, l'appelant ne peut pas se prévaloir de l'art. 271 al. 1 CO, dans la mesure où il sous-loue sans droit l'appartement loué et n'a aucune intention de le réoccuper lui-même. Dans ces conditions, il n'est pas nécessaire d'examiner les autres griefs qu'il soulève, lesquels ne sont pas pertinents pour la solution du litige.</w:t>
      </w:r>
    </w:p>
    <w:p>
      <w:r>
        <w:t>- 7/8 -</w:t>
      </w:r>
    </w:p>
    <w:p>
      <w:r>
        <w:t>C/4031/2015 En définitive, le jugement attaqué sera confirmé en tant qu'il déclare valable le congé du 3 février 2015. 3. L'appelant soutient qu'il aurait dû bénéficier d'une prolongation de bail de quatre ans. Il fait valoir que la résiliation aurait des conséquences extrêmement pénibles pour son "ex-compagne", "pouvant être assimilée à un membre de sa famille". Il lui serait en effet très difficile de trouver un appartement similaire avec un loyer abordable, alors que la bailleresse ne fait pas état d'un besoin urgent de pouvoir disposer du logement. 3.1 Aucune prolongation n'est accordée lorsqu'un congé est donné pour violation grave par le locataire de son devoir de diligence ou pour de graves manques d'égard envers les voisins (art. 257f al. 3 et 4 CO) (art. 272a al. 1 let. b CO). Par ailleurs, le locataire qui sous-loue les locaux ne peut en règle générale pas se prévaloir des conséquences pénibles du congé pour les sous-locataires (cf. ci- dessus consid. 2.3; LACHAT, Le bail à loyer 2008, p. 773; CONOD, in Droit du bail à loyer, Bâle, 2010, n° 24 ad art. 272 CO). 3.2 En l'espèce, c'est ainsi à juste titre que le Tribunal a refusé au locataire toute prolongation du bail.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C/4031/2015 PAR CES MOTIFS, La Chambre des baux et loyers : A la forme : Déclare recevable l'appel interjeté le 6 mai 2016 par A_____ contre le jugement JTBL/318/2016 rendu le 17 mars 2016 par le Tribunal des baux et loyers dans la cause C/4031/2015-4. Au fond : Confirme ce jugement.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6</w:t>
      </w:r>
    </w:p>
    <w:p>
      <w:r>
        <w:t>mars 2008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