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ACJC/148/2022 vom 17. Januar 2022</w:t>
      </w:r>
    </w:p>
    <w:p>
      <w:r>
        <w:t>GE Cour de justice, 2022-01-17, FR</w:t>
      </w:r>
    </w:p>
    <w:p>
      <w:r>
        <w:rPr>
          <w:b/>
        </w:rPr>
        <w:t xml:space="preserve">Quelle: </w:t>
      </w:r>
      <w:r>
        <w:t>https://mcp.opencaselaw.ch/entscheid/ge_gerichte_ACJC_148_2022</w:t>
      </w:r>
    </w:p>
    <w:p>
      <w:r>
        <w:t>FR: GE_GERICHTE ACJC/148/2022 du 17 janvier 2022</w:t>
      </w:r>
    </w:p>
    <w:p>
      <w:r>
        <w:t>IT: GE_GERICHTE ACJC/148/2022 del 17 gennaio 2022</w:t>
      </w:r>
    </w:p>
    <w:p>
      <w:pPr>
        <w:pStyle w:val="Heading2"/>
      </w:pPr>
      <w:r>
        <w:t>Erwägungen</w:t>
      </w:r>
    </w:p>
    <w:p>
      <w:r>
        <w:rPr>
          <w:b/>
        </w:rPr>
        <w:t>E. 1.1</w:t>
      </w:r>
    </w:p>
    <w:p>
      <w:r>
        <w:t>Aux termes de l'art. 5 al. 1 CPC, la Chambre civile de la Cour de justice (art. 120 al. 1 let. a LOJ) connaît en instance unique des litiges portant sur des droits de propriété intellectuelle, y compris en matière de nullité, de titularité et de licences d'exploitation ainsi que de transfert et de violation de tels droits (let. a) ou relevant de la loi fédérale contre la concurrence déloyale (ci-après : LCD) lorsque la valeur litigieuse dépasse 30'000 fr. (let. d). Cette compétence vaut également pour statuer sur les mesures provisionnelles requises avant litispendance (art. 5 al. 2 CPC).</w:t>
      </w:r>
    </w:p>
    <w:p>
      <w:r>
        <w:t>En l'occurrence, la requérante fonde ses prétentions sur la loi fédérale sur le droit d'auteur et les droits voisins (ci-après : LDA), ainsi que sur la LCD. Il n'est pas contesté que le logiciel dont l'utilisation est visée par ses démarches a une valeur qui excède largement 30'000 fr. au vu de ses coûts de développement.</w:t>
      </w:r>
    </w:p>
    <w:p>
      <w:r>
        <w:t>La Cour est donc a priori compétente à raison de la matière pour statuer en instance cantonale unique sur ce litige.</w:t>
      </w:r>
    </w:p>
    <w:p>
      <w:r>
        <w:t>Les cités contestent cette compétence qui reviendrait selon eux au Tribunal des Prud'hommes, au vu des rapports de travail existant entre les époux B______/C______ et la requérante.</w:t>
      </w:r>
    </w:p>
    <w:p>
      <w:r>
        <w:t>Si, de fait, la requérante a mentionné le contrat de travail qui l'avait liée aux époux B______/C______ dans sa requête, elle n'a pas fondé ses prétentions sur ledit contrat mais sur des droits découlant de la LDA et de la LCD; il y a lieu de s'y tenir car il s'agit de l'élément pertinent pour déterminer la compétence à raison de la matière (arrêt du Tribunal fédéral 4A_429/2020 du 5 mai 2021 consid. 2.1 et les références citées), de sorte que la compétence matérielle des juridictions prud'homales est exclue. Il n'existe donc pas, en l'occurrence, de problème de concours ou d'éventuel cumul d'actions, contrairement à ce qu'invoquent les cités, entre des prétentions fondées sur le contrat de travail et des prétentions fondées sur la LDA ou la LCD.</w:t>
      </w:r>
    </w:p>
    <w:p>
      <w:r>
        <w:t>La compétence ratione materiae de la Cour est donc acquise.</w:t>
      </w:r>
    </w:p>
    <w:p>
      <w:r>
        <w:t>- 7/18 -</w:t>
      </w:r>
    </w:p>
    <w:p>
      <w:r>
        <w:t>C/3200/2021</w:t>
      </w:r>
    </w:p>
    <w:p>
      <w:r>
        <w:rPr>
          <w:b/>
        </w:rPr>
        <w:t>E. 1.2</w:t>
      </w:r>
    </w:p>
    <w:p>
      <w:r>
        <w:t>Il existe un élément d'extranéité au vu du domicile français de deux des cités.</w:t>
      </w:r>
    </w:p>
    <w:p>
      <w:r>
        <w:rPr>
          <w:b/>
        </w:rPr>
        <w:t>E. 1.2.1</w:t>
      </w:r>
    </w:p>
    <w:p>
      <w:r>
        <w:t>La compétence à raison du lieu, au niveau international, s'examine à la lumière de la Convention de Lugano du 30 octobre 2007 concernant la compétence judiciaire, la reconnaissance et l'exécution des décisions en matière civile et commerciale (ci-après : CL), à laquelle la Suisse et la France sont parties (art. 1 al. 2 LDIP). L'art. 5 al. 3 CL prévoit qu'une personne domiciliée sur le territoire d'un Etat lié par la CL peut être attraite, dans un autre Etat lié par cette convention, en matière délictuelle ou quasi délictuelle, devant le tribunal du lieu où le fait dommageable s'est produit ou risque de se produire. Lors de l'application de la LDA, le lieu du dommage est situé là où le droit de propriété intellectuelle est protégé. Quant à la LCD, il s'agit du lieu où se trouve le siège de l'entreprise affectée par la violation du droit de la concurrence (BONOMI, Commentaire Romand - LDIP/CL, 2011, n. 134 ad art. 5 CL). Selon l'art. 31 CL, les mesures provisoires ou conservatoires prévues par la loi d'un Etat lié par la CL peuvent être demandées aux autorités judiciaires de cet Etat, même si, en vertu de la CL, une juridiction d'un autre Etat lié par la présente Convention est compétente pour connaître du fond. Cet article suppose acquis le fait que l'autorité compétente pour statuer au fond peut aussi statuer sur les mesures provisoires (BUCHER, Commentaire Romand - LDIP/CL, 2011, n. 2 ad art. 31 CL). Selon l'art. 13 CPC, sauf disposition contraire de la loi, est impérativement compétent pour ordonner des mesures provisionnelles le tribunal compétent pour statuer sur l'action principale (let. a) ou le tribunal du lieu où la mesure doit être exécutée (let. b). Sauf disposition contraire de la loi, le tribunal saisi est compétent lorsque le défendeur procède sans faire de réserve sur la compétence (art. 18 CPC). A teneur de l'art. 36 CPC, le tribunal du domicile ou du siège du lésé ou du défendeur ou le tribunal du lieu de l'acte ou du résultat de celui-ci est compétent pour statuer sur les actions fondées sur un acte illicite. Les actions défensives fondées sur la LCD et la LDA, notamment, sont régies par la règle de l'art. 36 CPC (STEINAUER/FOUNTOULAKIS, Droit des personnes physiques et de la protection de l'adulte, 2014, n. 570b).</w:t>
      </w:r>
    </w:p>
    <w:p>
      <w:r>
        <w:rPr>
          <w:b/>
        </w:rPr>
        <w:t>E. 1.2.2</w:t>
      </w:r>
    </w:p>
    <w:p>
      <w:r>
        <w:t>En l'espèce, les autorités suisses et, plus particulièrement, genevoises sont compétentes pour connaître du présent litige, notamment compte tenu du siège</w:t>
      </w:r>
    </w:p>
    <w:p>
      <w:r>
        <w:t>- 8/18 -</w:t>
      </w:r>
    </w:p>
    <w:p>
      <w:r>
        <w:t>C/3200/2021 genevois de la requérante, du siège genevois de la troisième citée et étant donné que le droit de propriété intellectuelle dont la protection est demandée est protégé en Suisse. Au surplus, les cités ont procédé sans contester la compétence ratione loci.</w:t>
      </w:r>
    </w:p>
    <w:p>
      <w:r>
        <w:rPr>
          <w:b/>
        </w:rPr>
        <w:t>E. 1.3</w:t>
      </w:r>
    </w:p>
    <w:p>
      <w:r>
        <w:t>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2</w:t>
      </w:r>
    </w:p>
    <w:p>
      <w:r>
        <w:t>Les parties ont apporté des faits nouveaux et les cités modifié leurs conclusions après le premier échange d'écritures.</w:t>
      </w:r>
    </w:p>
    <w:p>
      <w:r>
        <w:rPr>
          <w:b/>
        </w:rPr>
        <w:t>E. 2.1</w:t>
      </w:r>
    </w:p>
    <w:p>
      <w:r>
        <w:t>A teneur de l'art. 229 al. 1 CPC, les faits et moyens de preuve nouveaux ne sont admis aux débats principaux que s'ils sont invoqués sans retard et qu'ils remplissent l'une des conditions suivantes : ils sont postérieurs à l'échange d'écritures ou à la dernière audience d'instruction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w:t>
      </w:r>
    </w:p>
    <w:p>
      <w:r>
        <w:t>Le Tribunal fédéral a admis que, en procédure ordinaire, les parties ont deux fois la possibilité de s'exprimer librement, avant que les conditions restrictives de l'art. 229 al. 1 CPC ne trouvent application. Cette solution s'applique par analogie à la procédure simplifiée. Par contre, en procédure sommaire, une partie ne peut pas escompter que le tribunal ordonnera un second échange d'écritures ou une audience, après le premier échange d'écriture. Les parties n'ont aucun droit à pouvoir s'exprimer à deux reprises. En principe, la cause est gardée à juger après un échange d'écriture (ATF 144 III 117 consid. 2.2). Ceci n'exclut toutefois pas que, avec réserve, un second échange d'écriture puisse être ordonné, lorsqu'il apparaît comme nécessaire selon les circonstances (ATF 145 III 213 consid. 2.1.3; 144 III 117 consid. 2.1; 138 III 252 consid. 2.1). Pour les parties, il n'y a donc pas d'insécurité. Ainsi, après le premier échange d'écriture et à moins qu'une audience soit convoquée ou qu'un second échange d'écritures soit ordonné, des faits nouveaux ne peuvent être invoqués qu'aux conditions de l'art. 229 al. 1 CPC (ATF 146 III 237 consid. 3.1).</w:t>
      </w:r>
    </w:p>
    <w:p>
      <w:r>
        <w:t>Dans ce cadre, le Tribunal fédéral recommande aux tribunaux, dans l'intérêt de la sécurité du droit, d'indiquer clairement si un second échange d'écriture est ordonné ou s'il s'agit seulement de laisser aux parties la possibilité d'exercer leur droit de réplique. Dans ce cadre, les deux parties doivent être traitées de la même façon, ce</w:t>
      </w:r>
    </w:p>
    <w:p>
      <w:r>
        <w:t>- 9/18 -</w:t>
      </w:r>
    </w:p>
    <w:p>
      <w:r>
        <w:t>C/3200/2021 afin d'éviter les doutes dans l'esprit des parties et de ne pas devoir interpréter leurs communications a posteriori en ayant recours aux règles d'interprétation. Dans le doute, il faut retenir, sauf si le résultat de l'interprétation est clair, que seule la possibilité d'exercer le droit de réplique est octroyé (ATF 146 III 237 consid. 3.2; arrêt du Tribunal fédéral 5A_82/2015 du 16 juin 2015 consid. 4.2.1).</w:t>
      </w:r>
    </w:p>
    <w:p>
      <w:r>
        <w:t>En procédure sommaire, une modification de la demande par application analogique de l'art. 227 CPC n'est envisageable que si le tribunal tient une audience ou en cas de second échange d'écritures, de sorte qu'elle est en principe exclue (WILLISEGGER, Basler Kommentar - ZPO, 3ème éd. 2017, n. 59 ad art. 227 CPC).</w:t>
      </w:r>
    </w:p>
    <w:p>
      <w:r>
        <w:rPr>
          <w:b/>
        </w:rPr>
        <w:t>E. 2.2</w:t>
      </w:r>
    </w:p>
    <w:p>
      <w:r>
        <w:t>En l'espèce, la Cour a transmis la réponse des cités à la requérante sans ordonner de second échange d'écritures, qui n'avait, d'ailleurs, pas été requis par les parties.</w:t>
      </w:r>
    </w:p>
    <w:p>
      <w:r>
        <w:t>Le courrier de la Cour se réfère expressément à l'exercice du droit de réplique : il était donc univoque pour les parties qu'un second échange d'écritures n'était pas ordonné, mais que seul leur était donné l'occasion d'exercer leur droit de réplique. La recevabilité des allégués nouveaux et les pièces nouvelles produites postérieurement par les parties doit donc être analysée en fonction des conditions de l'art. 229 al. 1 CPC.</w:t>
      </w:r>
    </w:p>
    <w:p>
      <w:r>
        <w:t>Ainsi, les nouveaux allégués et les pièces nouvelles produites par la requérante par son courrier du 19 mars 2021, qui portent sur des faits postérieurs à son écriture précédente, sont recevables, car il s'agit de vrais nova.</w:t>
      </w:r>
    </w:p>
    <w:p>
      <w:r>
        <w:t>Il en va différemment des allégués et pièces nouveaux produits à l'appui des répliques successives des parties, qui sont toutes en lien avec des pièces anciennes (courriels ou datant de 2020 ou antérieurement), exceptée la réponse du 31 mars 2021 déposée par-devant le Tribunal de première instance par J______ SA. Ce dernier document est toutefois dénué de pertinence pour l'issue du litige. Ainsi, tous ces allégués et pièces nouveaux sont irrecevables.</w:t>
      </w:r>
    </w:p>
    <w:p>
      <w:r>
        <w:t>Il pourrait être discuté de savoir si les deux pièces produites à l'appui de la duplique des cités l'ont été en réponse aux pièces nouvelles produites par la requérante avec son courrier du 19 mars 2021, mais ces trois documents, soit deux fiches d'importation au nom de D______ FRANCE et une page Internet sans rapport avec les parties à la procédure sont dénuées de pertinence pour l'issue du litige, de sorte que leur recevabilité peut être laissée indécise.</w:t>
      </w:r>
    </w:p>
    <w:p>
      <w:r>
        <w:t>Enfin, la conclusion des cités tendant à écarter deux des pièces produites par la requérante a été formulée au stade de leur duplique, donc tardivement, et ne repose de toute manière pas sur des faits nouveaux au sens strict, mais uniquement</w:t>
      </w:r>
    </w:p>
    <w:p>
      <w:r>
        <w:t>- 10/18 -</w:t>
      </w:r>
    </w:p>
    <w:p>
      <w:r>
        <w:t>C/3200/2021 sur une invocation de l'illicéité de ce moyen de preuve tardive, car elle aurait pu être formulée au stade de leur réponse déjà. Il sera précisé, au vu de la jurisprudence du Tribunal fédéral (arrêt du Tribunal fédéral 4A_633/2020 du 24 juin 2021 consid. 2.1, 2.4 et 2.5) que l'obtention de ces pièces parmi les courriels professionnels des anciens actionnaires, administrateurs et employés de la requérante n'apparaît pas comme illicite. Il en va de même de la conclusion nouvelle des cités en lien avec la production d'une catégorie d'un certain logiciel, qui est aussi irrecevable.</w:t>
      </w:r>
    </w:p>
    <w:p>
      <w:r>
        <w:rPr>
          <w:b/>
        </w:rPr>
        <w:t>E. 3</w:t>
      </w:r>
    </w:p>
    <w:p>
      <w:r>
        <w:t>janvier 2012 consid. 4.1).</w:t>
      </w:r>
    </w:p>
    <w:p>
      <w:r>
        <w:t>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w:t>
      </w:r>
    </w:p>
    <w:p>
      <w:r>
        <w:rPr>
          <w:b/>
        </w:rPr>
        <w:t>E. 3.1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En vertu de l'art. 262 let. a CPC, le juge peut ordonner toute mesure provisionnelle propre à prévenir ou à faire cesser le préjudice, notamment une interdiction.</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t>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w:t>
      </w:r>
    </w:p>
    <w:p>
      <w:r>
        <w:t>- 11/18 -</w:t>
      </w:r>
    </w:p>
    <w:p>
      <w:r>
        <w:t>C/3200/2021 être entièrement supprimé même si le jugement à intervenir devait lui donner gain de cause. En d'autres termes, il s'agit d'éviter d'être mis devant un fait accompli dont le jugement ne pourrait pas complètement supprimer les effets. Entrent notamment dans ce cas de figure la perte de clientèle, l'atteinte à la réputation d'une personne, ou encore le trouble créé sur le marché par l'utilisation d'un signe créant un risque de confusion (arrêt du Tribunal fédéral 4A_611/2011 du</w:t>
      </w:r>
    </w:p>
    <w:p>
      <w:r>
        <w:rPr>
          <w:b/>
        </w:rPr>
        <w:t>E. 3.2</w:t>
      </w:r>
    </w:p>
    <w:p>
      <w:r>
        <w:t>Selon l'art. 2 al. 3 LDA, les programmes d'ordinateurs (logiciels) sont également considérés comme des œuvres protégées par cette loi.</w:t>
      </w:r>
    </w:p>
    <w:p>
      <w:r>
        <w:t>Les logiciels ou les programmes d'ordinateur englobent tous les processus complets rédigés dans une langue de programmation et servant à résoudre une tâche déterminée. Ils se présentent comme un ensemble d'instructions pouvant, une fois transposées sur un support et sous une forme déchiffrable par une machine, permettre à cette dernière de traiter des informations, d'effectuer certaines tâches et de montrer ou d'obtenir certains résultats. La protection de l'art. 2 al. 3 LDA vaut tant pour le code-source que pour le code-objet du programme. Les principes et les idées qui sous-tendent les logiciels, en particulier les algorithmes et la logique du programme, ne font pas partie du domaine protégé (BARRELET/EGLOFF, Le nouveau droit d'auteur, Commentaire de la loi fédérale sur le droit d'auteur et les droits voisins, 3ème éd. 2021, n. 32 ad art. 2 LDA; TROLLER, Précis du droit suisse des biens immatériels, 2ème éd. 2006, p. 155).</w:t>
      </w:r>
    </w:p>
    <w:p>
      <w:r>
        <w:t>L'œuvre, qu'elle soit fixée sur un support matériel ou non, est protégée par le droit d'auteur dès sa création (art. 29 al. 1 LDA).</w:t>
      </w:r>
    </w:p>
    <w:p>
      <w:r>
        <w:t>Il faut que le logiciel soit bâti sur une structure unique et autonome, reconnaissable à travers toutes les variantes et combinaisons d'effets qu'elle permet de réaliser (TROLLER, op. cit., p. 157.). Le logiciel doit être nouveau, c'est- à-dire que, du point de vue des professionnels, il ne soit pas qualifié de banal (BARRELET/EGLOFF, op. cit., n. 33 ad art. 2 LDA). Il doit ainsi se différencier suffisamment d'autres logiciels déjà existants. Toutefois, dans la mesure où la marge de création est conditionnée par le résultat que doit produire le logiciel, le degré d'individualité ne doit pas être fixé trop haut (NEFF, Urheberrechtlicher</w:t>
      </w:r>
    </w:p>
    <w:p>
      <w:r>
        <w:t>- 12/18 -</w:t>
      </w:r>
    </w:p>
    <w:p>
      <w:r>
        <w:t>C/3200/2021 Schutz de Software, in : SIWR II/2, p. 131). Ainsi,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(DESSEMONTET, Le droit d'auteur, 1999, n. 144).</w:t>
      </w:r>
    </w:p>
    <w:p>
      <w:r>
        <w:t>L'auteur est la personne physique qui a créé l'œuvre (art. 6 LDA). Une personne morale ne peut d'emblée acquérir les droits d'auteur (BARRELET/EGLOFF, op. cit., n. 2 ad art. 6 LDA); elle pourra en revanche les acquérir par un transfert ultérieur (DESSEMONTET, op. cit., n. 308).</w:t>
      </w:r>
    </w:p>
    <w:p>
      <w:r>
        <w:t>L'auteur d'un logiciel dispose des mêmes droits que les auteurs d'œuvres littéraires ou artistiques, sous réserve de dispositions spéciales de la LDA (art 10 al. 3, 13 al. 4, 19 al. 4 LDA, par exemple).</w:t>
      </w:r>
    </w:p>
    <w:p>
      <w:r>
        <w:t>En application de l'art. 10 al. 1 LDA, l'auteur a le droit exclusif de décider si, quand et de quelle manière son œuvre sera utilisée. Ce droit recouvre toutes les modalités d'exploitation de l'œuvre (DESSEMONTET, op. cit., n. 219).</w:t>
      </w:r>
    </w:p>
    <w:p>
      <w:r>
        <w:t>La LDA accorde en outre à l'auteur, selon l'art. 11 al. 1 LDA, le droit exclusif de décider de quelle manière l'œuvre peut être modifiée, ou, quand et de quelle manière l'œuvre peut être utilisée pour la création d'une œuvre dérivée. Le terme d'œuvre dérivée est défini à l'art. 3 LDA comme toute création de l'esprit qui a un caractère individuel, mais qui a été conçue à partir d'une ou de plusieurs œuvres préexistantes, reconnaissables dans leur caractère individuel. Les œuvres dérivées sont protégées par le droit d'auteur, mais elles ne pourront être exploitées qu'avec le consentement de l'auteur de l'œuvre de base (DESSEMONTET, op. cit., n. 395, p. 290).</w:t>
      </w:r>
    </w:p>
    <w:p>
      <w:r>
        <w:t>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w:t>
      </w:r>
    </w:p>
    <w:p>
      <w:r>
        <w:rPr>
          <w:b/>
        </w:rPr>
        <w:t>E. 3.3</w:t>
      </w:r>
    </w:p>
    <w:p>
      <w:r>
        <w:t>Il s'agit d'examiner si, en l'occurrence, les conditions du prononcé de mesures provisionnelles exposées ci-dessus sont réalisées.</w:t>
      </w:r>
    </w:p>
    <w:p>
      <w:r>
        <w:rPr>
          <w:b/>
        </w:rPr>
        <w:t>E. 3.3.1</w:t>
      </w:r>
    </w:p>
    <w:p>
      <w:r>
        <w:t>Sous l'angle du droit d'auteur, la protection requise porte sur un logiciel, dont les droits sont détenus par la requérante, ce qui n'est pas contesté.</w:t>
      </w:r>
    </w:p>
    <w:p>
      <w:r>
        <w:t>Les cités ne contestent pas que le logiciel en question doive être considéré comme une œuvre et soit donc sujet à la protection. Tout au plus soutiennent-ils, sans</w:t>
      </w:r>
    </w:p>
    <w:p>
      <w:r>
        <w:t>- 13/18 -</w:t>
      </w:r>
    </w:p>
    <w:p>
      <w:r>
        <w:t>C/3200/2021 produire une preuve à l'appui de leur affirmation, que ce logiciel ne serait "pas unique". Or, il n'est pas requis qu'un logiciel soit unique pour qu'il bénéficie d'une protection : il suffit qu'il présente une certaine individualité. Au vu du développement onéreux du logiciel et du fait qu'il constitue la base de son activité commerciale, la requérante a suffisamment apporté la preuve que ce logiciel présente suffisamment d'individualité pour être considéré comme une œuvre. En effet, il est peu concevable qu'une entreprise dépense l'équivalent de quelque 300'000 fr. pour le développement d'un logiciel banal et parvienne à monter une affaire rentable sur la base d'un tel logiciel.</w:t>
      </w:r>
    </w:p>
    <w:p>
      <w:r>
        <w:t>Il s'ensuit que le droit sur le logiciel dont la protection est demandée est rendu suffisamment vraisemblable, la question du profil I______ étant traitée ci-après.</w:t>
      </w:r>
    </w:p>
    <w:p>
      <w:r>
        <w:rPr>
          <w:b/>
        </w:rPr>
        <w:t>E. 3.3.2</w:t>
      </w:r>
    </w:p>
    <w:p>
      <w:r>
        <w:t>S'agissant du risque d'atteinte, la requérante rend vraisemblable que les cités s'apprêtent à entreprendre ou ont déjà lancé une activité similaire à la sienne dans le domaine de l'alimentation en carburant des aéronefs.</w:t>
      </w:r>
    </w:p>
    <w:p>
      <w:r>
        <w:t>Cela ressort du courriel daté du 26 novembre 2020, dans lequel le cité B______ a ouvertement manifesté son intention de commencer une nouvelle entreprise en reprenant la clientèle de la requérante et en débauchant ses employés, qui ont par ailleurs presque tous démissionné peu après. Le fait que le cité ait eu l'intention de le faire conformément à la loi est sans pertinence.</w:t>
      </w:r>
    </w:p>
    <w:p>
      <w:r>
        <w:t>En outre, bien que la nouvelle structure citée, soit D______ Sàrl, puisse avoir officiellement un autre but social en lien avec les motocycles, la requérante apporte un faisceau d'indices, soit notamment des reproductions de pages de son site Internet qui rendent vraisemblables que l'activité des cités sera la même que la sienne.</w:t>
      </w:r>
    </w:p>
    <w:p>
      <w:r>
        <w:t>Par ailleurs, les explications des cités, pour la plupart non étayées, quant à leur future activité sont, pour le moins, peu claires, voire contradictoires. En effet, si l'on se réfère à la partie EN DROIT de leur réponse, ils affirment tantôt n'avoir plus aucun intérêt à l'utilisation du logiciel, mais pour évoquer plus loin un nouveau logiciel, qui serait, à les suivre, tout à fait distinct de celui de la requérante et qu'ils développeraient actuellement. Or, ils n'exposent pas à quoi servirait ce nouveau logiciel : il est donc envisageable qu'il remplisse les mêmes tâches que le logiciel dont la protection est demandée. La requérante rend donc vraisemblable compte tenu des activités similaires projetées par les cités que leur nouveau logiciel remplisse des tâches identiques. En tous les cas, les cités n'exposent pas en quoi leur activité dans le domaine des motocycles nécessiterait un logiciel particulier.</w:t>
      </w:r>
    </w:p>
    <w:p>
      <w:r>
        <w:t>- 14/18 -</w:t>
      </w:r>
    </w:p>
    <w:p>
      <w:r>
        <w:t>C/3200/2021</w:t>
      </w:r>
    </w:p>
    <w:p>
      <w:r>
        <w:t>A ce sujet, il apparaît que la demande des cités d'obtenir le code source du logiciel est exorbitante à la procédure sommaire de mesures provisionnelles, puisqu'il est prévisible qu'il faudra recourir aux services d'un expert pour comprendre la teneur d'un tel document, examen excédant les limites de la procédure sommaire de mesures provisionnelles. Elle sera donc rejetée.</w:t>
      </w:r>
    </w:p>
    <w:p>
      <w:r>
        <w:t>Aux constatations qui précèdent, il faut ajouter que le logiciel est au centre de l'activité commerciale de la requérante. Il faut donc présumer que si les cités entendent se lancer sur le même marché, avec les mêmes clients et les mêmes employés, le risque existe qu'ils puissent être tentés, si l'occasion leur en est donnée, de se servir du logiciel de la requérante.</w:t>
      </w:r>
    </w:p>
    <w:p>
      <w:r>
        <w:t>Or, il est envisageable que les parties citées aient pu conserver une copie du logiciel ou soient en mesure d'en obtenir une : en effet, il est pratiquement impossible d'arriver à démontrer qu'un programme ou des données informatiques n'ont pas été conservés à l'insu de la requérante, cette possibilité demeurant néanmoins vraisemblable au vu du contexte précité.</w:t>
      </w:r>
    </w:p>
    <w:p>
      <w:r>
        <w:t>Enfin, il est légitime de considérer que la société citée en tant qu'outil des deux autres parties citées doive aussi se voir opposer une interdiction.</w:t>
      </w:r>
    </w:p>
    <w:p>
      <w:r>
        <w:t>Un risque de violation du droit dont la protection est demandée est ainsi rendu vraisemblable.</w:t>
      </w:r>
    </w:p>
    <w:p>
      <w:r>
        <w:rPr>
          <w:b/>
        </w:rPr>
        <w:t>E. 3.3.3</w:t>
      </w:r>
    </w:p>
    <w:p>
      <w:r>
        <w:t>S'agissant de l'existence d'un préjudice difficilement réparable et d'une urgence à octroyer la protection, la requérante a apporté suffisamment d'éléments, déjà analysés ci-dessus, qui démontrent que la décision de se lancer dans une activité similaire à la sienne est en cours (supra 3.3.2).</w:t>
      </w:r>
    </w:p>
    <w:p>
      <w:r>
        <w:t>Etant donné que le logiciel est essentiel à son activité commerciale et constitue donc une condition à sa survie en tant qu'acteur du marché, le risque de préjudice difficilement réparable en cas d'utilisation abusive par un tiers de ce logiciel est patent. A supposer que ses clients et ses parts de marché migrent chez un concurrent, les pertes subies ne pourraient que très difficilement être réparées.</w:t>
      </w:r>
    </w:p>
    <w:p>
      <w:r>
        <w:t>L'urgence est donnée dans la mesure où, de l'aveu même des cités, ceux-ci développent un nouveau logiciel, dont il est rendu vraisemblable qu'il puisse se baser sur le logiciel de la requérante.</w:t>
      </w:r>
    </w:p>
    <w:p>
      <w:r>
        <w:t>Ces deux conditions sont donc remplies.</w:t>
      </w:r>
    </w:p>
    <w:p>
      <w:r>
        <w:rPr>
          <w:b/>
        </w:rPr>
        <w:t>E. 3.3.4</w:t>
      </w:r>
    </w:p>
    <w:p>
      <w:r>
        <w:t>Enfin, la condition de la proportionnalité est réalisée.</w:t>
      </w:r>
    </w:p>
    <w:p>
      <w:r>
        <w:t>- 15/18 -</w:t>
      </w:r>
    </w:p>
    <w:p>
      <w:r>
        <w:t>C/3200/2021</w:t>
      </w:r>
    </w:p>
    <w:p>
      <w:r>
        <w:t>Selon leurs propres explications, les cités ne détiendraient plus aucune donnée relative au logiciel et n'auraient pas l'intention de l'utiliser ou de le copier. Il appert donc que la mesure tendant à leur interdire toute interaction avec le logiciel ou le code source de celui-ci ne devrait avoir aucun impact sur leur situation factuelle ou juridique.</w:t>
      </w:r>
    </w:p>
    <w:p>
      <w:r>
        <w:t>Par conséquent, la mesure s'avère peu incisive pour eux, dans la mesure où ils n'invoquent pas d'inconvénient consécutif à l'admission de l'action de la requérante.</w:t>
      </w:r>
    </w:p>
    <w:p>
      <w:r>
        <w:t>Compte tenu du caractère essentiel du logiciel pour la requérante, déjà souligné, il est proportionné de prononcer une interdiction.</w:t>
      </w:r>
    </w:p>
    <w:p>
      <w:r>
        <w:rPr>
          <w:b/>
        </w:rPr>
        <w:t>E. 3.3.5</w:t>
      </w:r>
    </w:p>
    <w:p>
      <w:r>
        <w:t>Les conditions autorisant le prononcé de mesures provisionnelles visant le logiciel étant réalisées, celles-ci seront prononcées. Dès lors qu'il n'est pas invoqué qu'il pourrait exister une quelconque confusion quant au logiciel objet de la présente procédure, le texte des conclusions, soit "le logiciel développé par A______ Sàrl, respectivement que A______ Sàrl a fait développer", sera repris tel quel.</w:t>
      </w:r>
    </w:p>
    <w:p>
      <w:r>
        <w:rPr>
          <w:b/>
        </w:rPr>
        <w:t>E. 3.4</w:t>
      </w:r>
    </w:p>
    <w:p>
      <w:r>
        <w:t>S'agissant par contre du profil I______, la solution est différente.</w:t>
      </w:r>
    </w:p>
    <w:p>
      <w:r>
        <w:t>En effet, en tant qu'il s'agit d'un support de données, il ne revêt pas la qualité d'œuvre.</w:t>
      </w:r>
    </w:p>
    <w:p>
      <w:r>
        <w:t>De toute manière, la protection octroyée précédemment englobe toute forme de reproduction du logiciel, y compris sur un éventuel compte I______. Il s'ensuit que la requérante ne dispose pas d'intérêt, au vu des mesures prononcées précédemment, à obtenir une restriction sur l'utilisation du compte I______, quel qu'en soit le titulaire.</w:t>
      </w:r>
    </w:p>
    <w:p>
      <w:r>
        <w:t>Par ailleurs, dans la mesure où la requérante n'a pas accès à ce compte, elle n'a pas rendu vraisemblable en être la titulaire, même si elle a pu payer certaines factures en lien avec ce compte.</w:t>
      </w:r>
    </w:p>
    <w:p>
      <w:r>
        <w:rPr>
          <w:b/>
        </w:rPr>
        <w:t>E. 4</w:t>
      </w:r>
    </w:p>
    <w:p>
      <w:r>
        <w:t>Etant donné que la requérante a formulé des conclusions identiques fondées tant sur la LDA que sur la LCD, et que la protection adéquate lui est octroyée sur la base de la LDA, il est inutile d'examiner si les conditions d'une protection provisionnelle au sens de la LCD sont réalisées.</w:t>
      </w:r>
    </w:p>
    <w:p>
      <w:r>
        <w:rPr>
          <w:b/>
        </w:rPr>
        <w:t>E. 5</w:t>
      </w:r>
    </w:p>
    <w:p>
      <w:r>
        <w:t>Ainsi, il sera fait interdiction à C______, B______ et D______ Sàrl d'utiliser le logiciel développé par A______ Sàrl, respectivement qu'elle avait fait développer, ou tout autre logiciel identique ou dérivé, ainsi que de copier, modifier, transférer, divulguer ou disposer de quelque façon que ce soit du code source et/ou du code</w:t>
      </w:r>
    </w:p>
    <w:p>
      <w:r>
        <w:t>- 16/18 -</w:t>
      </w:r>
    </w:p>
    <w:p>
      <w:r>
        <w:t>C/3200/2021 objet dudit logiciel ou de tout autre logiciel identique ou dérivé. Cette interdiction sera prononcée sous la menace de la peine prévue à l'art. 292 CP, ainsi que le demande la requérante, ce qui n'a pas été spécifiquement contesté par les cités.</w:t>
      </w:r>
    </w:p>
    <w:p>
      <w:r>
        <w:rPr>
          <w:b/>
        </w:rPr>
        <w:t>E. 6</w:t>
      </w:r>
    </w:p>
    <w:p>
      <w:r>
        <w:t>Conformément à l'art. 263 CPC, un délai de soixante jours sera imparti à la requérante pour agir au fond.</w:t>
      </w:r>
    </w:p>
    <w:p>
      <w:r>
        <w:rPr>
          <w:b/>
        </w:rPr>
        <w:t>E. 7</w:t>
      </w:r>
    </w:p>
    <w:p>
      <w:r>
        <w:t>Les frais judiciaires de la procédure seront arrêtés à 2'900 fr. (art. 26 RTFMC) et mis à la charge des cités, qui succombent, solidairement entre eux (art. 95 al. 1 et 106 al. 1 et 3 dernière phr. CPC). Ils seront compensés avec l'avance de frais de même montant fournie par la requérante, qui est acquise à l'Etat de Genève (art. 111 al. 1 CPC), et les cités seront condamnés, solidairement entre eux, à rembourser à la requérante le montant de son avance (art. 111 al. 2 CPC). Les cités seront également condamnés à payer à la requérante la somme de 3'000 fr. à titre de dépens (art. 96 CPC, art. 84 et 86 RTFMC), débours compris (art. 25 LaCC).</w:t>
      </w:r>
    </w:p>
    <w:p>
      <w:r>
        <w:rPr>
          <w:b/>
        </w:rPr>
        <w:t>E. 8</w:t>
      </w:r>
    </w:p>
    <w:p>
      <w:r>
        <w:t>La présente décision sera communiquée à l'Office fédéral de la propriété intellectuelle (art. 66a LDA). * * * * *</w:t>
      </w:r>
    </w:p>
    <w:p>
      <w:r>
        <w:t>- 17/18 -</w:t>
      </w:r>
    </w:p>
    <w:p>
      <w:r>
        <w:t>C/3200/2021 PAR CES MOTIFS, La Chambre civile : Statuant en instance cantonale unique et sur mesures provisionnelles :</w:t>
      </w:r>
    </w:p>
    <w:p>
      <w:r>
        <w:t>Déclare recevable la requête de mesures provisionnelles formée le 22 février 2021 par A______ Sàrl à l'encontre de C______, B______ et D______ Sàrl. Fait interdiction à C______, B______ et D______ Sàrl, personnellement ou par l'intermédiaire d'une société ou entité juridique qu'ils contrôlent : d'utiliser le logiciel développé par A______ Sàrl, respectivement qu'elle avait fait développer, ou tout autre logiciel identique ou dérivé, ainsi que de copier, modifier, transférer, divulguer ou disposer de quelque façon que ce soit du code source et/ou du code objet dudit logiciel ou de tout autre logiciel identique ou dérivé. Prononce dite interdiction sous la menace de la peine d'amende prévue à l'art. 292 CP qui prévoit : "Celui qui ne se sera pas conformé à une décision à lui signifiée, sous la menace de la peine prévue au présent article, par une autorité ou un fonctionnaire compétents sera puni d'une amende." Impartit à A______ Sàrl un délai de soixante jours, à compter de la réception de la présente décision, pour valider les présentes mesures provisionnelles par le dépôt d'une action au fond, sous peine de caducité desdites mesures provisionnelles.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de la procédure à 2'900 fr., les met à la charge de C______, B______ et D______ Sàrl solidairement entre eux et les compense avec l'avance de frais de même montant fournie par A______ Sàrl, qui est acquise à l'Etat de Genève. Condamne C______, B______ et D______ Sàrl solidairement entre eux à payer à A______ Sàrl la somme de 2'000 fr. à titre de remboursement de son avance. Condamne C______, B______ et D______ Sàrl solidairement entre eux à payer à A______ Sàrl la somme de 3'000 fr. à titre de dépens.</w:t>
      </w:r>
    </w:p>
    <w:p>
      <w:r>
        <w:t>- 18/18 -</w:t>
      </w:r>
    </w:p>
    <w:p>
      <w:r>
        <w:t>C/3200/2021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