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ACJC/148/2016 vom 16. Februar 2016</w:t>
      </w:r>
    </w:p>
    <w:p>
      <w:r>
        <w:t>GE Cour de justice, 2016-02-16, FR</w:t>
      </w:r>
    </w:p>
    <w:p>
      <w:r>
        <w:rPr>
          <w:b/>
        </w:rPr>
        <w:t xml:space="preserve">Quelle: </w:t>
      </w:r>
      <w:r>
        <w:t>https://mcp.opencaselaw.ch/entscheid/ge_gerichte_ACJC_148_2016</w:t>
      </w:r>
    </w:p>
    <w:p>
      <w:r>
        <w:t>FR: GE_GERICHTE ACJC/148/2016 du 16 février 2016</w:t>
      </w:r>
    </w:p>
    <w:p>
      <w:r>
        <w:t>IT: GE_GERICHTE ACJC/148/2016 del 16 febbraio 2016</w:t>
      </w:r>
    </w:p>
    <w:p>
      <w:pPr>
        <w:pStyle w:val="Heading2"/>
      </w:pPr>
      <w:r>
        <w:t>Erwägungen</w:t>
      </w:r>
    </w:p>
    <w:p>
      <w:r>
        <w:rPr>
          <w:b/>
        </w:rPr>
        <w:t>E. 1.1</w:t>
      </w:r>
    </w:p>
    <w:p>
      <w:r>
        <w:t>En matière de mainlevée d'opposition, seule la voie du recours est ouverte (art. 309 let. b ch. 3 et 319 let. a CPC).</w:t>
      </w:r>
    </w:p>
    <w:p>
      <w:r>
        <w:t>En l'espèce, le recours, écrit et motivé (art. 130, 131, 321 al. 1 CPC), adressé à la Cour de justice dans un délai de dix jours dès la notification de la décision entreprise (art. 142 al. 1 et 3, 251 let. a, 321 al. 2 CPC), est recevable.</w:t>
      </w:r>
    </w:p>
    <w:p>
      <w:r>
        <w:t>- 4/6 -</w:t>
      </w:r>
    </w:p>
    <w:p>
      <w:r>
        <w:t>C/11368/2015</w:t>
      </w:r>
    </w:p>
    <w:p>
      <w:r>
        <w:rPr>
          <w:b/>
        </w:rPr>
        <w:t>E. 1.2</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 2015, p. 304). Partant, pour examiner si la loi a été violée, la Cour doit se placer dans la situation où se trouvait le premier juge lorsqu'il a rendu la décision attaquée. Les faits nouveaux allégués et les pièces nouvelles déposées devant la Cour par l'intimé sont ainsi irrecevables.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Le recourant ne conteste pas que les pièces produites par l'intimé avec sa requête de mainlevée, à savoir la convention et l'avenant du 13 mai 1995 ainsi que l'acte de défaut de biens du 5 novembre 2013, constituent un titre de mainlevée suffisant au sens des art. 82 al. 1 et 149 al. 2 LP, pour le montant en capital déduit en poursuite et pour les intérêts dès le 16 mars 2015. Dès lors, il est superflu d'examiner la question - qui n'a pas été abordée par le premier juge et qui n'est d'ailleurs pas soulevée par le recourant - de la recevabilité des pièces déposées par l'intimé devant le Tribunal le 22 septembre 2015, lesquelles, à teneur du dossier, n'ont pas été communiquées au recourant. Ces pièces ne sont en effet pas déterminantes pour la solution du litige. Le recourant fait grief au Tribunal de ne pas avoir pris en considération la lettre du 15 novembre 2001, par laquelle l'intimé aurait "unilatéralement et sans aucune condition" réduit sa créance à 20'000 fr. L'intimé fait valoir que ladite lettre - dont l'original avait été modifié à son insu, en ce sens que le montant qui était à l'origine de 30'000 fr. avait été corrigé - ne constituait qu'une proposition, qui n'avait pas été acceptée par le recourant.</w:t>
      </w:r>
    </w:p>
    <w:p>
      <w:r>
        <w:rPr>
          <w:b/>
        </w:rPr>
        <w:t>E. 2.1</w:t>
      </w:r>
    </w:p>
    <w:p>
      <w:r>
        <w:t>Conformément à l'art. 82 al. 2 LP, le poursuivi peut faire échec à la mainlevée en rendant immédiatement vraisemblable sa libération (ATF 96 I 4 consid. 2). Le poursuivi peut se prévaloir de tous les moyens de droit civil - exceptions ou objections - qui infirment la reconnaissance de dette (ATF 131 III 268</w:t>
      </w:r>
    </w:p>
    <w:p>
      <w:r>
        <w:t>- 5/6 -</w:t>
      </w:r>
    </w:p>
    <w:p>
      <w:r>
        <w:t>C/11368/2015 consid. 3.2). Il n'a pas à apporter la preuve absolue (ou stricte) de ses moyens libératoires, mais seulement à les rendre vraisemblables, en principe par titre (art. 254 al. 1 CPC; arrêt du Tribunal fédéral 5A_878/2011 du 5 mars 2012 consid. 2.2).</w:t>
      </w:r>
    </w:p>
    <w:p>
      <w:r>
        <w:t>La remise de dette est un contrat aux termes duquel les parties conviennent d'annuler une créance; elle n'est soumise à aucune prescription de forme, même lorsque la créance découle d'un contrat écrit (art. 115 CO). Le créancier ne peut pas renoncer unilatéralement à la créance; la remise de dette suppose un accord entre le créancier et le débiteur (ATF 126 III 375 consid. 2d, arrêt du Tribunal fédéral 4C.14/2001 du 26 mars 2001 consid. 2 b).</w:t>
      </w:r>
    </w:p>
    <w:p>
      <w:r>
        <w:rPr>
          <w:b/>
        </w:rPr>
        <w:t>E. 2.2</w:t>
      </w:r>
    </w:p>
    <w:p>
      <w:r>
        <w:t>En l'espèce, le courrier du 15 novembre 2001 dont se prévaut le recourant constituait une proposition soumise à acceptation, puisque l'intimé proposait au recourant le versement par celui-ci d'une somme déterminée pour solde de tout compte, tout en lui indiquant qu'il restait dans l'attente d'une réponse. Il ne s'agissait ainsi pas, contrairement à ce que soutient le recourant, d'une déclaration par laquelle l'intimé réduisait unilatéralement et sans aucune condition sa créance. En tout état, la remise de dette, totale ou partielle, suppose un accord entre le créancier et le débiteur et le recourant n'allègue pas qu'il aurait accepté la proposition ou qu'il aurait payé la somme en question. Enfin, le courrier dont fait état le recourant remonte à 2001, alors que l'acte de défaut de biens qui fonde la poursuite et qui vaut reconnaissance de dette a été délivré en 2013, ce qui corrobore l'absence d'accord entre les parties sur une remise partielle de la dette. Il est ainsi sans conséquence que le premier juge ait statué avant la remise de l'original de la pièce, vu l'absence de pertinence de celle-ci. Le recours est ainsi infondé, de sorte qu'il sera rejeté.</w:t>
      </w:r>
    </w:p>
    <w:p>
      <w:r>
        <w:rPr>
          <w:b/>
        </w:rPr>
        <w:t>E. 3</w:t>
      </w:r>
    </w:p>
    <w:p>
      <w:r>
        <w:t>Le recourant, qui succombe, sera condamné aux frais du recours (art. 95 al. 1 let. a et al. 2, 106 al. 1 et 3 CPC). L'émolument de la présente décision et de celle sur effet suspensif, sera fixé à 750 fr. (art. 48 et 61 OELP). Le recourant plaidant au bénéfice de l'assistance juridique, les frais judiciaires seront provisoirement laissés à la charge de l'Etat, lequel pourra en réclamer le remboursement ultérieurement (art. 122 al. 1 let. b et 123 CPC; art. 19 RAJ). Le recourant sera condamné à verser à l'intimé 1'500 fr. à titre de dépens, débours et TVA compris (art. 95, 104 al. 1, 105 al. 2, 106 al. 1 et 118 al. 3 CPC; art. 85, 89 et 90 RTFMC; art. 25 et 26 LaCC). * * * * *</w:t>
      </w:r>
    </w:p>
    <w:p>
      <w:r>
        <w:t>- 6/6 -</w:t>
      </w:r>
    </w:p>
    <w:p>
      <w:r>
        <w:t>C/11368/2015 PAR CES MOTIFS, La Chambre civile : A la forme : Déclare recevable le recours interjeté le 26 octobre 2015 par A_____ contre le jugement JTPI/11009/2015 rendu le 23 septembre 2015 par le Tribunal de première instance dans la cause C/11368/2015-JS SML. Au fond : Le rejette. Déboute les parties de toutes autres conclusions. Sur les frais : Arrête les frais judiciaires du recours à 750 fr., les met à la charge de A_____ et dit qu'ils sont provisoirement supportés par l'Etat de Genève. Condamne A_____ à verser à B_____ 1'500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