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ACJC/1486/2020 vom 9. November 2020</w:t>
      </w:r>
    </w:p>
    <w:p>
      <w:r>
        <w:t>GE Cour de justice, 2020-11-09, FR</w:t>
      </w:r>
    </w:p>
    <w:p>
      <w:r>
        <w:rPr>
          <w:b/>
        </w:rPr>
        <w:t xml:space="preserve">Quelle: </w:t>
      </w:r>
      <w:r>
        <w:t>https://mcp.opencaselaw.ch/entscheid/ge_gerichte_ACJC_1486_2020</w:t>
      </w:r>
    </w:p>
    <w:p>
      <w:r>
        <w:t>FR: GE_GERICHTE ACJC/1486/2020 du 9 novembre 2020</w:t>
      </w:r>
    </w:p>
    <w:p>
      <w:r>
        <w:t>IT: GE_GERICHTE ACJC/1486/2020 del 9 novembre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w:t>
      </w:r>
    </w:p>
    <w:p>
      <w:r>
        <w:rPr>
          <w:b/>
        </w:rPr>
        <w:t>E. 1.2</w:t>
      </w:r>
    </w:p>
    <w:p>
      <w:r>
        <w:t>Interjeté dans le délai et selon la forme prescrits par la loi (art. 130, 131 et 311 al. 1 CPC), l'appel est recevable. Il en va de même de la réponse, de la réplique et de la duplique.</w:t>
      </w:r>
    </w:p>
    <w:p>
      <w:r>
        <w:t>- 10/20 -</w:t>
      </w:r>
    </w:p>
    <w:p>
      <w:r>
        <w:t>C/8670/2018</w:t>
      </w:r>
    </w:p>
    <w:p>
      <w:r>
        <w:rPr>
          <w:b/>
        </w:rPr>
        <w:t>E. 1.3</w:t>
      </w:r>
    </w:p>
    <w:p>
      <w:r>
        <w:t>L'appelante produit une nouvelle pièce à l'appui de son appel. L'intimée allègue des faits nouveaux dans son courrier du 31 mars 2020 et produit de nouvelles pièces, tant à l'appui du courrier précité que de sa réponse. Elle explique qu'était attachée au courriel du 25 mars 2020 une "chaîne de courriels" constituée des emails des 12 et 19 février 2018 et 7, 13 et 17 septembre 2018, dont elle n'avait pris connaissance qu'à ce moment-là, raison pour laquelle elle n'avait pas pu les transmettre au premier juge.</w:t>
      </w:r>
    </w:p>
    <w:p>
      <w:r>
        <w:rPr>
          <w:b/>
        </w:rPr>
        <w:t>E. 1.3.1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4A_662/2012 du 7 février 2013 consid. 3.3).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w:t>
      </w:r>
    </w:p>
    <w:p>
      <w:r>
        <w:rPr>
          <w:b/>
        </w:rPr>
        <w:t>E. 1.3.2</w:t>
      </w:r>
    </w:p>
    <w:p>
      <w:r>
        <w:t>En l'espèce, s'agissant de la pièce nouvelle produite par l'appelante, à savoir le contrat de vente du 12 décembre 2019, elle est postérieure au jugement entrepris et a été produite sans délai, de sorte qu'elle est recevable, de même que les faits auxquels elle se rapporte. Il en va de même du courriel de Me C______ à D______ du 25 mars 2020 produit par l'intimée, celui-ci étant postérieur au jugement querellé et produit sans délai. Tel n'est toutefois pas le cas des autres emails produits à l'appui du courrier de l'intimée du 31 mars 2020. Ceux-ci sont tous antérieurs à la mise en délibérations de la cause en première instance. L'intimée ne convainc pas dans son explication s'agissant du moment où elle a pris connaissance de ces courriels. En effet, il ne ressort pas du courriel de Me C______ à D______ du 25 mars 2020 que des pièces y étaient jointes. Le notaire ne fait par ailleurs pas référence dans ce courriel à des échanges de courriels entre l'appelante et D______. Par ailleurs, les</w:t>
      </w:r>
    </w:p>
    <w:p>
      <w:r>
        <w:t>- 11/20 -</w:t>
      </w:r>
    </w:p>
    <w:p>
      <w:r>
        <w:t>C/8670/2018 feuilles sur lesquelles figurent les pièces 19 à 25 ne sont pas toutes numérotées en bas de page, certaines pages sont manquantes, la pièce 19 n'indique aucun destinataire et la pièce 20 mentionne un expéditeur et un destinataire identique et D______ ne figure pas en copie de ces deux pièces. Il est ainsi plus que douteux que l'ensemble de ces emails aient constitué une "chaîne d'emails" à la suite du courriel du 25 mars 2020, comme le prétend l'intimée. Par conséquent, faute d'avoir exposé de manière convaincante la raison pour laquelle l'intimée n'avait pas pu produire ces pièces en première instance, celles-ci seront déclarées irrecevables, de même que les faits qui s'y rapportent. La pièce produite par l'appelante pour démontrer l'irrecevabilité des faits et moyens de preuves nouveaux précités suivra dès lors le même sort, de même que les allégués s'y rapportant.</w:t>
      </w:r>
    </w:p>
    <w:p>
      <w:r>
        <w:rPr>
          <w:b/>
        </w:rPr>
        <w:t>E. 1.4</w:t>
      </w:r>
    </w:p>
    <w:p>
      <w:r>
        <w:t>La Cour revoit la cause en fait et en droit avec un plein pouvoir d'examen (art. 310 CPC). En particulier, le juge d'appel contrôle librement l'appréciation des preuves effectuée par le juge de première instance (art. 157 CPC en lien avec l'art. 310 let. b CPC) et vérifie si celui-ci pouvait admettre les faits qu'il a retenus (ATF 138 III 374 consid. 4.3.1). La maxime des débats et le principe de disposition sont applicables (art. 55 al. 1 et 58 al. 1 CPC).</w:t>
      </w:r>
    </w:p>
    <w:p>
      <w:r>
        <w:rPr>
          <w:b/>
        </w:rPr>
        <w:t>E. 2</w:t>
      </w:r>
    </w:p>
    <w:p>
      <w:r>
        <w:t>L'appelante reproche au premier juge d'avoir retenu que les parties s'étaient entendues pour mettre un terme à la promesse de vente du 26 septembre 2016. Elle considère, d'une part, que son courriel du 30 janvier 2017 n'était pas une offre de résiliation. D'autre part, les conditions de fixation d'un délai précis et d'engagement devant notaire, imposées par l'intimée, étaient des conditions sine qua non à la résiliation, de sorte que, l'appelante ne les ayant pas acceptées, aucun accord ne serait intervenu. Par conséquent, en cessant de payer les mensualités, l'intimée se serait retrouvée en situation d'inexécution, de sorte que l'appelante ne devrait pas lui restituer les acomptes conformément à ce que prévoyait la promesse.</w:t>
      </w:r>
    </w:p>
    <w:p>
      <w:r>
        <w:rPr>
          <w:b/>
        </w:rPr>
        <w:t>E. 2.1.1</w:t>
      </w:r>
    </w:p>
    <w:p>
      <w:r>
        <w:t>Le contrat est parfait lorsque les parties ont, réciproquement et d'une manière concordante, manifesté leur volonté (art. 1 al. 1 CO). Cette manifestation peut être expresse ou tacite (art. 1 al. 2 CO). A teneur de l'art. 2 al. 1 CO, si les parties se sont mises d'accord sur tous les points essentiels, le contrat est réputé conclu, lors même que des points secondaires ont été réservés. Autrement dit, le contrat n'est conclu qu'à partir du moment où les manifestations de volonté des parties sont concordantes. En outre, les parties doivent s'être mises d'accord sur tous les éléments objectivement et subjectivement essentiels du contrat, faute de quoi celui-ci n'est pas venu à chef (arrêt du Tribunal fédéral 4A_69/2019 du 27 septembre 2019 consid. 3.1).</w:t>
      </w:r>
    </w:p>
    <w:p>
      <w:r>
        <w:t>- 12/20 -</w:t>
      </w:r>
    </w:p>
    <w:p>
      <w:r>
        <w:t>C/8670/2018 Les points objectivement essentiels forment le noyau nécessaire du contrat et permettent de l'identifier comme un tout cohérent, en indiquant l'objet de l'engagement de chaque partie (TERCIER/PICHONNAZ, Le droit des obligations, 6ème éd., 2019, n. 614; MORIN, Commentaire romand, Code des obligations I, 2012, n. 2 ad art. 2 CO). Tous les points qui ne sont pas objectivement essentiels sont objectivement secondaires. Une partie peut toutefois élever un point objectivement secondaire au rang de point subjectivement essentiel en faisant clairement savoir à l'autre avant la conclusion du contrat qu'un accord sur ce point est une condition sina qua non de son engagement (TERCIER/PICHONNAZ, op. cit., n. 615; MORIN, op. cit., n. 58 ad art. 1 CO et n. 5 ad art. 2 CO). L'offre de contracter est la proposition de conclure un contrat que fait une partie à l'autre. Il s'agit d'une manifestation de la volonté de se lier (cf. art. 7 CO; arrêt du Tribunal fédéral 4A_69/2019 du 27 septembre 2019 consid. 3.1). L'offre se définit ainsi comme une proposition ferme de conclure un contrat, de façon à ce que son destinataire puisse décider sans autres s'il l'accepte ou s'il la refuse, en partant de l'idée que la conclusion du contrat ne dépend que de son éventuel consentement (MORIN, op. cit., n. 80 ad art. 1 CO). L'acceptation est la manifestation de volonté de l'autre partie, par laquelle celle-ci déclare acquiescer à l'offre. Pour qu'il y ait accord, il faut en effet que l'acceptation coïncide avec l'offre. Si l'acceptation n'est pas identique par son contenu à l'offre ou en diverge sur un point qui est objectivement ou subjectivement essentiel, il ne s'agit pas d'une acceptation, mais d'une nouvelle offre, soit d'une contre-offre. Les règles de l'offre s'appliquent à la contre-offre, en ce sens que la partie destinataire doit manifester sa volonté d'accepter la contre- offre (arrêt du Tribunal fédéral 4A_69/2019 du 27 septembre 2019 consid. 3.1; TERCIER/PICHONNAZ, op. cit., n. 667; GAUCH/SCHLUEP/SCHMID, Schweizerisches Obligationenrecht – Allgemeiner Teil, 10ème éd., 2014, n. 441 s.). Il appartient à la partie qui prétend que le contrat n'a pas été conclu de le prouver, notamment en démontrant avoir élevé au rang de point subjectivement essentiel un point objectivement secondaire (art. 8 CC; TERCIER/PICHONNAZ, op. cit., n. 615 ss; MORIN, op. cit., n. 5 ad art. 2 CO).</w:t>
      </w:r>
    </w:p>
    <w:p>
      <w:r>
        <w:rPr>
          <w:b/>
        </w:rPr>
        <w:t>E. 2.1.2</w:t>
      </w:r>
    </w:p>
    <w:p>
      <w:r>
        <w:t>Savoir s'il y a eu acceptation de l'offre ou de la contre-offre s'effectue selon les règles applicables à l'interprétation des manifestations de volonté. Il y a lieu de rechercher la réelle et commune intention des parties, sans s'arrêter aux expressions ou dénominations inexactes dont elles ont pu se servir, soit par erreur, soit pour déguiser la nature véritable de la convention (art. 18 al. 1 CO;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w:t>
      </w:r>
    </w:p>
    <w:p>
      <w:r>
        <w:t>- 13/20 -</w:t>
      </w:r>
    </w:p>
    <w:p>
      <w:r>
        <w:t>C/8670/2018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et les références citées; 131 III 606 consid. 4.2).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w:t>
      </w:r>
    </w:p>
    <w:p>
      <w:r>
        <w:rPr>
          <w:b/>
        </w:rPr>
        <w:t>E. 2.2</w:t>
      </w:r>
    </w:p>
    <w:p>
      <w:r>
        <w:t>En l'espèce, la validité de la promesse de vente du 26 septembre 2016 et de son avenant du 28 septembre 2016 n'est pas discutée. Les parties divergent sur la conclusion d'un accord permettant de mettre fin à cette promesse.</w:t>
      </w:r>
    </w:p>
    <w:p>
      <w:r>
        <w:rPr>
          <w:b/>
        </w:rPr>
        <w:t>E. 2.2.1</w:t>
      </w:r>
    </w:p>
    <w:p>
      <w:r>
        <w:t>Il y a dès lors lieu d'examiner si le courriel de l'appelante du 30 janvier 2017 est constitutif d'une offre de résiliation. A titre liminaire, contrairement à ce que prétend l'intimée, les trois scénarios discutés lors de la réunion du 30 janvier 2017 et repris dans le courriel de l'appelante à l'intimée du même jour, ne visent pas tous à mettre un terme à la promesse de vente du 26 septembre 2016 et à son avenant. Les parties discutaient au contraire de plusieurs solutions envisageables, dont la résiliation de la promesse prévue dans la deuxième option. La troisième option n'était pas suffisamment déterminée pour être considérée uniquement comme une résiliation. Elle permettait d'ouvrir le champ des possibilités. Quant à la première option, elle impliquait un maintien de la promesse avec une adaptation des modalités et une éventualité de revente à un tiers. Nonobstant l'évocation de cette éventualité, il</w:t>
      </w:r>
    </w:p>
    <w:p>
      <w:r>
        <w:t>- 14/20 -</w:t>
      </w:r>
    </w:p>
    <w:p>
      <w:r>
        <w:t>C/8670/2018 n'était pas exclu que les parties parviennent finalement à la conclusion de l'acte de vente entre elles. Cela étant précisé, la première option prend en compte tous les éléments essentiels au maintien de la promesse de vente avec une adaptation des modalités prévues (i.e. réduction des acomptes, utilisation des biens immobiliers, partage des frais et dépenses) ainsi que, dans le cas d'une éventuelle vente des biens immobiliers à un tiers, le partage du gain supérieur au prix de vente convenu dans la promesse, en compensation de la renonciation de l'intimée à la peine conventionnelle. Cette proposition pouvait ainsi être acceptée en l'état par l'intimée, de sorte qu'elle constitue une offre de la part de l'appelante. Il en va de même de la seconde option qui prévoit également tous les éléments essentiels s'agissant des modalités de résiliation de la promesse, à savoir le désistement de l'intimée, l'absence de pénalité à payer par celle-ci, le remboursement par l'appelante des acomptes et un délai de remboursement à convenir, l'appelante ayant expressément précisé "idéalement à la conclusion de la vente" à un tiers. Ce dernier point constituait pour l'appelante un élément objectivement et subjectivement secondaire puisque le délai n'était pas déterminé. Dans la mesure où l'appelante avait toutefois précisé "idéalement à la conclusion de la vente", l'intimée était ainsi parfaitement en mesure d'accepter cette proposition en l'état, de sorte qu'elle doit être considérée comme une seconde offre, alternative à la première. Ceci est corroboré par le fait qu'au terme du courriel de l'appelante, celle-ci indique être dans l'attente d'une réponse de l'intimée, à savoir une acceptation de l'une des deux offres, si possible le deuxième scénario, marquant ainsi de surcroît sa préférence pour la résiliation de la promesse. Force est donc de constater que le courriel de l'appelante du 30 janvier 2017 comporte bel et bien deux offres, avec une préférence expresse pour l'offre de résilier la promesse de vente du 26 septembre 2016.</w:t>
      </w:r>
    </w:p>
    <w:p>
      <w:r>
        <w:rPr>
          <w:b/>
        </w:rPr>
        <w:t>E. 2.2.2</w:t>
      </w:r>
    </w:p>
    <w:p>
      <w:r>
        <w:t>Reste à déterminer si l'une des deux offres de l'appelante a été acceptée par l'intimée. Selon le courriel de celle-ci du 31 janvier 2017, le deuxième scénario, à savoir la résiliation de la promesse, était accepté à la condition d'obtenir un délai de remboursement exact et de signer un engagement devant notaire. Une telle formulation réduisait l'offre initiale de l'appelante dans la mesure où un délai fixe excluait un évènement dont la date demeurait indéterminée telle la revente des biens immobiliers. De même l'exigence de formalité notariale rendait l'offre de l'appelante plus stricte. Ces éléments ont ainsi modifié l'offre de l'appelante de sorte à constituer une contre-offre puisque l'intimée a, en d'autres termes, érigé des éléments objectivement secondaires en conditions sine qua non à la résiliation de</w:t>
      </w:r>
    </w:p>
    <w:p>
      <w:r>
        <w:t>- 15/20 -</w:t>
      </w:r>
    </w:p>
    <w:p>
      <w:r>
        <w:t>C/8670/2018 la promesse, soit en éléments subjectifs essentiels, que l'appelante a refusé par courriel du même jour. L'appelante a également formulé une nouvelle contre- offre, en exigeant dorénavant, d'une part, que le délai de remboursement coïncide avec la date indéterminée de la revente des biens immobiliers, éléments auparavant objectivement et subjectivement secondaire, et, d'autre part, un délai de réflexion supplémentaire de trois mois avant d'opter pour ce scénario. Elle a dans cette nouvelle contre-offre formulé des éléments subjectivement essentiels. Compte tenu de ce revirement, la volonté réelle de l'appelante de résilier la promesse apparaissait douteuse, ce que l'intimée ne pouvait ignorer. S'en sont suivis divers échanges entre les parties sans toutefois qu'un accord complet n'ait été trouvé sur la résiliation de la promesse. Par la suite, selon le témoin D______, les parties se sont rencontrées une nouvelle fois le 3 février 2017 et se sont entendues sur le maintien de la promesse, l'appelante ne devant plus intervenir dans l'organisation d'évènements dans les locaux et l'intimée s'engageant à continuer à payer les acomptes mensuels, déductibles du prix de vente. L'absence de confirmation écrite de cet accord intervenu oralement le</w:t>
      </w:r>
    </w:p>
    <w:p>
      <w:r>
        <w:rPr>
          <w:b/>
        </w:rPr>
        <w:t>E. 2.2.3</w:t>
      </w:r>
    </w:p>
    <w:p>
      <w:r>
        <w:t>Il y a dès lors lieu de déterminer si, selon le principe de la confiance, l'intimée devait comprendre des déclarations et du comportement de l'appelante que celle-ci souhaitait également se départir de la promesse. Comme précédemment évoqué, dans le courriel du 30 janvier 2017, l'appelante marque expressément sa préférence pour la résiliation de la promesse. Cela étant, l'appelante émet un doute par écrit dans son courriel du lendemain, le 31 janvier 2017, sur sa volonté de résilier la promesse en sollicitant un délai de</w:t>
      </w:r>
    </w:p>
    <w:p>
      <w:r>
        <w:t>- 16/20 -</w:t>
      </w:r>
    </w:p>
    <w:p>
      <w:r>
        <w:t>C/8670/2018 réflexion de trois mois. Par ailleurs, et comme relevé plus haut (cf. consid. 2.2.2), les parties se sont encore entendues lors de leur réunion du 3 février 2017 sur le maintien de la promesse en se serrant la main devant le témoin D______. Il n'a en outre pas été établi que l'intimée a été privée de l'utilisation principale des locaux, respectivement que l'appelante a effectué une utilisation excessive des locaux en louant, en 2017, ceux-ci à des tiers pour son propre compte, étant encore précisé qu'une utilisation exclusive de ceux-ci par l'intimée n'avait d'abord pas été convenue puis accordée oralement lors de la réunion du 3 février 2017. En outre, le 7 février 2017, l'appelante a mis l'intimée en demeure de verser l'acompte du mois de janvier 2017 et de prendre en charge les frais d'entretien des locaux, confirmant une nouvelle fois si besoin, sa volonté de maintenir la promesse de vente. Enfin, nonobstant les déclarations de l'intimée lors de son audition affirmant qu'elle avait toujours été d'accord de renoncer à son droit d'emption prévu dans le contrat, force est de constater que celui-ci n'a jamais été radié, de sorte que les biens immobiliers n'ont été vendus à un tiers que le 12 décembre 2019, soit un mois et demi après l'échéance du droit d'emption prévu dans la promesse, démontrant une nouvelle fois, que la promesse continuait à déployer ses effets. A cet égard, le fait que l'appelante ait recherché de nouveaux acquéreurs pour les biens immobiliers et sollicité de l'intimée la radiation du droit d'emption à de multiples reprises ne saurait lui être préjudiciable dans la mesure où ces faits sont intervenus plusieurs mois après l'inexécution de la promesse par l'intimée et qu'ils ne sauraient ainsi être pris en considération dans l'examen de la volonté des parties selon le principe de la confiance. L'intimée ne pouvait, dans ces circonstances et de bonne foi, pas comprendre des déclarations et du comportement de l'appelante une quelconque volonté de celle-ci, postérieure à son offre de résilier du 30 janvier 2017 ayant fait l'objet d'une contre-offre de l'appelante, de mettre un terme à la promesse. Force est dès lors de constater qu'aucun accord n'est intervenu entre les parties s'agissant de la résiliation de la promesse laquelle a continué à déployer ses effets.</w:t>
      </w:r>
    </w:p>
    <w:p>
      <w:r>
        <w:rPr>
          <w:b/>
        </w:rPr>
        <w:t>E. 2.2.4</w:t>
      </w:r>
    </w:p>
    <w:p>
      <w:r>
        <w:t>Dans la mesure où les relations entre les parties sont demeurées régies par la promesse, il ne peut y avoir de place pour des prétentions en enrichissement illégitime.</w:t>
      </w:r>
    </w:p>
    <w:p>
      <w:r>
        <w:rPr>
          <w:b/>
        </w:rPr>
        <w:t>E. 2.2.5</w:t>
      </w:r>
    </w:p>
    <w:p>
      <w:r>
        <w:t>Reste encore à examiner si les prétentions de l'intimée peuvent être fondées sur les dispositions de la promesse relatives aux cas d'inexécution. Comme relevé supra (cf. consid. 2.2.3 supra), il n'est pas établi que l'intimée a été privée de l'utilisation principale des locaux, respectivement que l'appelante a effectué une utilisation excessive de ceux-ci excluant toute utilisation par l'intimée. A cet égard, la seule annonce de location émanant de l'appelante date de mars 2019 et le simple fait que l'appelante fût détentrice des clés des locaux ne</w:t>
      </w:r>
    </w:p>
    <w:p>
      <w:r>
        <w:t>- 17/20 -</w:t>
      </w:r>
    </w:p>
    <w:p>
      <w:r>
        <w:t>C/8670/2018 permet pas de prouver qu'elle en ait fait un usage contraire à la promesse ou à l'accord du 3 février 2017. L'intimée n'avait dès lors aucun motif légitime de refuser de verser l'acompte du mois de janvier 2017 et les suivants, sans compter la prise en charge des frais d'entretien qui lui incombaient également. Ce faisant, l'intimée s'est retrouvée, la première, en position d'inexécution de la promesse. En application de l'art. 5 al. 3 de la promesse de vente, l'intimée ne peut, dans ces circonstances, pas solliciter le remboursement par l'appelante des acomptes qu'elle a versés, de sorte qu'elle devra être déboutée de sa prétention en paiement du montant de 400'000 fr. avec intérêts à 5% dès le 23 février 2017 ainsi que de la mainlevée définitive de l'opposition au commandement de payer poursuite n° 1______. Le grief de l'appelante étant admis, le jugement sera annulé et l'intimée sera déboutée de ses conclusions, étant précisé qu'elle n'a pas formé appel contre son déboutement en paiement de la clause pénale.</w:t>
      </w:r>
    </w:p>
    <w:p>
      <w:r>
        <w:rPr>
          <w:b/>
        </w:rPr>
        <w:t>E. 3</w:t>
      </w:r>
    </w:p>
    <w:p>
      <w:r>
        <w:t>février 2017 d'une part et d'autre part, la possession desdites clés par l'appelante n'entraînait pas forcément une occupation par celle-ci desdits locaux. En outre, l'implication prétendument persistante de l'appelante dans l'organisation des évènements dans les locaux n'a pas été établie par l'intimée, étant précisé que l'appelante n'a remis en location la salle pour son propre compte qu'à compter du mois de mars 2019. Aucun élément n'était ainsi susceptible de justifier, en février 2017, un refus de l'intimée de confirmer son accord du 3 février 2017. Au vu de ce qui précède, l'appelante avait la volonté de maintenir la promesse tandis que l'intimée souhaitait en réalité s'en défaire, de sorte que l'on ne saurait conclure qu'il y avait une concordance des volontés des parties sur la résiliation de la promesse.</w:t>
      </w:r>
    </w:p>
    <w:p>
      <w:r>
        <w:rPr>
          <w:b/>
        </w:rPr>
        <w:t>E. 3.1</w:t>
      </w:r>
    </w:p>
    <w:p>
      <w:r>
        <w:t>Si l'instance d'appel statue à nouveau, elle se prononce sur les frais de la première instance (art. 318 al. 3 CPC).</w:t>
      </w:r>
    </w:p>
    <w:p>
      <w:r>
        <w:rPr>
          <w:b/>
        </w:rPr>
        <w:t>E. 3.1.1</w:t>
      </w:r>
    </w:p>
    <w:p>
      <w:r>
        <w:t>Le Tribunal a arrêté les frais judiciaires de la demande à 10'000 fr., montant, à juste titre, non contesté en appel (art. 13 et 17 RTFMC). Au vu de l'issue du litige, ces frais seront mis à la charge de l'intimée qui succombe intégralement dans ses conclusions (art. 106 al. 1 CPC). Ils seront compensés avec les avances de frais effectuées par celle-ci à due concurrence, le solde de celles-ci s'élevant à 20'400 fr. devant lui être restitués par l'Etat de Genève, soit pour lui les Services financiers du Pouvoir judiciaire (art. 111 al. 1 CPC). L'avance de frais d'un montant de 200 fr. versée par l'appelante devra également lui être restituée.</w:t>
      </w:r>
    </w:p>
    <w:p>
      <w:r>
        <w:rPr>
          <w:b/>
        </w:rPr>
        <w:t>E. 3.1.2</w:t>
      </w:r>
    </w:p>
    <w:p>
      <w:r>
        <w:t>Le montant total des dépens fixé par le Tribunal à 10'000 fr. n'ayant pas non plus été remis en cause et, dans la mesure où il est conforme aux dispositions applicables, il sera confirmé et l'intimée sera dès lors condamné à verser ce montant à l'appelante (art. 23 al. 2 LaCC; art. 84 et 85 RTFMC). Les chiffres 3 et 4 du dispositif du jugement attaqué seront donc modifiés en conséquence.</w:t>
      </w:r>
    </w:p>
    <w:p>
      <w:r>
        <w:rPr>
          <w:b/>
        </w:rPr>
        <w:t>E. 4.1</w:t>
      </w:r>
    </w:p>
    <w:p>
      <w:r>
        <w:t>Les frais judiciaires d'appel seront arrêtés à 8'000 fr. (art. 13, 17 et 35 RTFMC). Dans la mesure où l'appelante obtient entièrement gain de cause en appel, lesdits frais seront mis à la charge de l'intimée (art. 106 al. 2 CPC). Ils seront compensés avec l'avance de frais de même montant versée par l'appelante, laquelle demeure</w:t>
      </w:r>
    </w:p>
    <w:p>
      <w:r>
        <w:t>- 18/20 -</w:t>
      </w:r>
    </w:p>
    <w:p>
      <w:r>
        <w:t>C/8670/2018 acquise à l'Etat de Genève (art. 111 al. 1 CPC). L'intimée sera dès lors condamnée à verser à l'appelante le montant de 8'000 fr. au titre de remboursement des frais judiciaires d'appel (art. 111 al. 2 CPC).</w:t>
      </w:r>
    </w:p>
    <w:p>
      <w:r>
        <w:rPr>
          <w:b/>
        </w:rPr>
        <w:t>E. 4.2</w:t>
      </w:r>
    </w:p>
    <w:p>
      <w:r>
        <w:t>L'intimée sera en outre condamnée à verser le montant de 8'000 fr. à l'appelante au titre de dépens d'appel (art. 84, 85 et 90 RTFMC). * * * * *</w:t>
      </w:r>
    </w:p>
    <w:p>
      <w:r>
        <w:t>- 19/20 -</w:t>
      </w:r>
    </w:p>
    <w:p>
      <w:r>
        <w:t>C/8670/2018</w:t>
      </w:r>
    </w:p>
    <w:p>
      <w:r>
        <w:t>PAR CES MOTIFS, La Chambre civile :</w:t>
      </w:r>
    </w:p>
    <w:p>
      <w:r>
        <w:t>A la forme : Déclare recevable l'appel interjeté le 27 janvier 2020 par l'association A______ contre le jugement JTPI/17291/2019 rendu le 4 décembre 2019 par le Tribunal de première instance dans la cause C/8670/2018-20. Au fond : Annule ce jugement. Cela fait et statuant à nouveau : Déboute B______ SA de ses conclusions. Arrête les frais judiciaires de première instance à 10'000 fr., les met à la charge de B______ SA et les compense avec les avances de frais fournies par celle-ci. Ordonne à l'Etat de Genève, soit pour lui les Services financiers du Pouvoir judiciaire, de restituer la somme de 20'400 fr. à B______ SA et la somme de 200 fr. à l'association A______. Condamne B______ SA à payer à l'association A______ la somme de 10'000 fr. TTC à titre de dépens de première instance. Sur les frais : Arrête les frais judiciaires d'appel à 8'000 fr., les compense avec l'avance de frais de même montant fournie par l'association A______ et les met à la charge de B______ SA. Condamne en conséquence B______ SA à payer à l'association A______ la somme de 8'000 fr. à titre de remboursement des frais judiciaires d'appel. Condamne B______ SA à payer à l'association A______ la somme de 8'000 fr. à titre de dépens d'appel.</w:t>
      </w:r>
    </w:p>
    <w:p>
      <w:r>
        <w:t>- 20/20 -</w:t>
      </w:r>
    </w:p>
    <w:p>
      <w:r>
        <w:t>C/8670/2018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