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ACJC/1485/2022 vom 16. November 2022</w:t>
      </w:r>
    </w:p>
    <w:p>
      <w:r>
        <w:t>GE Cour de justice, 2022-11-16, FR</w:t>
      </w:r>
    </w:p>
    <w:p>
      <w:r>
        <w:rPr>
          <w:b/>
        </w:rPr>
        <w:t xml:space="preserve">Quelle: </w:t>
      </w:r>
      <w:r>
        <w:t>https://mcp.opencaselaw.ch/entscheid/ge_gerichte_ACJC_1485_2022</w:t>
      </w:r>
    </w:p>
    <w:p>
      <w:r>
        <w:t>FR: GE_GERICHTE ACJC/1485/2022 du 16 novembre 2022</w:t>
      </w:r>
    </w:p>
    <w:p>
      <w:r>
        <w:t>IT: GE_GERICHTE ACJC/1485/2022 del 16 novembre 2022</w:t>
      </w:r>
    </w:p>
    <w:p>
      <w:pPr>
        <w:pStyle w:val="Heading2"/>
      </w:pPr>
      <w:r>
        <w:t>Erwägungen</w:t>
      </w:r>
    </w:p>
    <w:p>
      <w:r>
        <w:rPr>
          <w:b/>
        </w:rPr>
        <w:t>E. 1.1</w:t>
      </w:r>
    </w:p>
    <w:p>
      <w:r>
        <w:t>L’appel est recevable contre les décisions finales et les décisions incidentes de première instance, lorsque, dans les affaires patrimoniales, la valeur litigieuse au dernier état des conclusions est de 10'000 francs au moins (art. 308 al. 1et 2 CPC), ce qui est le cas en l'espèce.</w:t>
      </w:r>
    </w:p>
    <w:p>
      <w:r>
        <w:rPr>
          <w:b/>
        </w:rPr>
        <w:t>E. 1.2.1</w:t>
      </w:r>
    </w:p>
    <w:p>
      <w:r>
        <w:t>Il incombe au recourant de motiver son appel (art. 311 al. 1 CPC), c'est-à- 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w:t>
      </w:r>
    </w:p>
    <w:p>
      <w:r>
        <w:t>- 5/8 -</w:t>
      </w:r>
    </w:p>
    <w:p>
      <w:r>
        <w:t>C/16790/2021 modification dans le dispositif de la décision (ATF 137 III 617 consid. 4.3). Il n'existe pas de présomption selon laquelle celui qui ne précise pas ses conclusions serait censé reprendre celles formulées devant l'instance précédente (arrêt du tribunal fédéral 4A_402/2011 du 19 décembre 2011 consid. 1.2). L'art. 132 CPC permet d'obtenir un délai supplémentaire uniquement pour rectifier des vices de forme, et non pas pour remédier à l'insuffisance des moyens au fond, même si le mémoire émane d'une personne sans formation juridique (ATF 137 III 617 consid. 6.4; arrêts du Tribunal fédéral 5A_736/2017 du 30 mars 2017 consid. 4.3);</w:t>
      </w:r>
    </w:p>
    <w:p>
      <w:r>
        <w:rPr>
          <w:b/>
        </w:rPr>
        <w:t>E. 1.2.2</w:t>
      </w:r>
    </w:p>
    <w:p>
      <w:r>
        <w:t>En l'espèce, l'appelante semble contester le jugement attaqué. Elle n'explique toutefois pas en quoi les motivations du Tribunal relatives, tant à la prescription des prétentions qu'elle a émises à l'encontre de l'intimée, qu'à l'absence de preuve de la mauvaise exécution du contrat de mandat, seraient erronées ou contraires au droit. L'appelante ne formule aucun grief à l'encontre de la décision querellée et n'indique pas non plus sur quels points ledit jugement serait erroné. De plus, l'appel ne contient aucune conclusion. En outre, il ne peut être tenu compte des explications fournies par l'appelante après l'échéance du délai d'appel, dans sa réplique, laquelle ne permet pas de compléter les griefs et la motivation de l'appel.</w:t>
      </w:r>
    </w:p>
    <w:p>
      <w:r>
        <w:t>Par conséquent, faute de motivation suffisante, même en faisant preuve de l'indulgence nécessaire envers un plaideur agissant en personne, l'appel doit être déclaré irrecevable.</w:t>
      </w:r>
    </w:p>
    <w:p>
      <w:r>
        <w:rPr>
          <w:b/>
        </w:rPr>
        <w:t>E. 2</w:t>
      </w:r>
    </w:p>
    <w:p>
      <w:r>
        <w:t>Même s'il avait été recevable, l'appel aurait été infondé, pour les motifs qui suivent :</w:t>
      </w:r>
    </w:p>
    <w:p>
      <w:r>
        <w:rPr>
          <w:b/>
        </w:rPr>
        <w:t>E. 2.1.1</w:t>
      </w:r>
    </w:p>
    <w:p>
      <w:r>
        <w:t>La Cour examine d'office la recevabilité des faits et moyens de preuve nouveaux en appel (REETZ/HILBER, Kommentar zur Schweizerischen Zivilprozessordnung, 3ème éd. 2016, n. 26 ad art. 317 CPC). A teneur de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2.1.2</w:t>
      </w:r>
    </w:p>
    <w:p>
      <w:r>
        <w:t>En l'espèce, les courriers des 14 et 17 juillet 2020, ainsi que la déclaration du 16 juillet 2020, ont été établis avant que le jugement entrepris ne soit rendu et l'appelante n'explicite pas pour quelles raisons elle aurait été empêchée de les produire en première instance. Par conséquent, ces pièces, ainsi que les allégués de fait qui s'y rapportent sont irrecevables et ne seront pas pris en considération.</w:t>
      </w:r>
    </w:p>
    <w:p>
      <w:r>
        <w:t>- 6/8 -</w:t>
      </w:r>
    </w:p>
    <w:p>
      <w:r>
        <w:t>C/16790/2021 Les autres titres nouvellement produits sont recevables, sans préjudice de leur pertinence.</w:t>
      </w:r>
    </w:p>
    <w:p>
      <w:r>
        <w:rPr>
          <w:b/>
        </w:rPr>
        <w:t>E. 2.2.1</w:t>
      </w:r>
    </w:p>
    <w:p>
      <w:r>
        <w:t>L'art. 398 al. 2 CO prévoit que le mandataire est responsable envers le mandant de la bonne et fidèle obligation du mandat. Cette disposition impose au mandataire une obligation de diligence et de fidélité. L'obligation principale du mandataire consiste à mettre en œuvre une diligence raisonnable pour atteindre le but voulu par les parties et à livrer le résultat obtenu (WERRO, in Code des obligations I, Commentaire romand, 3ème éd. 2021, art. 398 CO, n. 12 et ss). C'est au créancier qu'il incombe de prouver quelles mesures s'imposaient au débiteur dans les circonstances de l'espèce et le fait que celui-ci ait omis de les prendre (WERRO, Le mandat et ses effets, p. 305, n. 908; dans le même sens : arrêt du Tribunal fédéral 4A_350/2019 du 9 janvier 2020 consid. 3.1 et les arrêts cités).</w:t>
      </w:r>
    </w:p>
    <w:p>
      <w:r>
        <w:rPr>
          <w:b/>
        </w:rPr>
        <w:t>E. 2.2.2</w:t>
      </w:r>
    </w:p>
    <w:p>
      <w:r>
        <w:t>Les actions fondées sur des obligations contractuelles se prescrivent, sauf disposition spéciale, par dix ans (art. 127 CO), dès que la créance est devenue exigible (art. 130 al. 1 CO).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(ATF 143 III 348 consid. 5.3; 137 III 16 consid. 2.3, 2.4.1 et 2.4.3; arrêt du Tribunal fédéral 4A_558/2017 du 29 mai 2018 consid. 5.3.1; pour une critique de cette jurisprudence, cf. PICHONNAZ, in Code des obligations I, Commentaire romand, 3ème éd. 2021, art. 130 CO, n. 5j). En cas d'omission continue d'exécuter une obligation pendant la période contractuelle, la prescription décennale de l'art. 127 CO commence en principe à courir au plus tard depuis la fin du contrat (ATF 106 II 134 consid. 2d; arrêt du Tribunal fédéral 4A_558/2017 précité, ibidem).</w:t>
      </w:r>
    </w:p>
    <w:p>
      <w:r>
        <w:rPr>
          <w:b/>
        </w:rPr>
        <w:t>E. 2.2.3</w:t>
      </w:r>
    </w:p>
    <w:p>
      <w:r>
        <w:t>La responsabilité du mandataire est subordonnée aux quatre conditions suivantes, conformément au régime général de l'art. 97 CO : une violation des obligations qui lui incombent en vertu du contrat, notamment la violation de ses obligations de diligence et de fidélité (art. 398 al. 2 CO); un dommage; un rapport de causalité (naturelle et adéquate) entre la violation du contrat et le dommage; et une faute (arrêt du Tribunal fédéral 4A_350/2019 du 9 janvier 2020 consid. 3.1 et les arrêts cités). Le mandant supporte le fardeau de l'allégation objectif et le fardeau de la preuve des trois premières conditions conformément à l'art. 8 CC; il incombe en revanche</w:t>
      </w:r>
    </w:p>
    <w:p>
      <w:r>
        <w:t>- 7/8 -</w:t>
      </w:r>
    </w:p>
    <w:p>
      <w:r>
        <w:t>C/16790/2021 au mandataire de prouver qu'aucune faute ne lui est imputable (arrêt du Tribunal fédéral 4A_350/2019 précité, ibidem et les arrêts cités).</w:t>
      </w:r>
    </w:p>
    <w:p>
      <w:r>
        <w:rPr>
          <w:b/>
        </w:rPr>
        <w:t>E. 2.2.4</w:t>
      </w:r>
    </w:p>
    <w:p>
      <w:r>
        <w:t>Dans le présent cas, c'est à bon droit que le Tribunal a retenu que l'action intentée par l'appelante était prescrite. En effet, elle a fait l'objet, en juillet 2010, d'une taxation par le service compétent concernant l'exercice fiscal 2009 et a introduit, en conciliation, sa demande le 31 août 2021, soit plus de 10 ans après l'alléguée violation contractuelle. De plus, il ne résulte pas des pièces – recevables – versées à la procédure que l'intimée aurait été informée de la vente de l'immeuble, de sorte que c'est également à bon droit que le premier juge a considéré que l'appelante n'avait pas démontré une mauvaise exécution du mandat par l'intimée.</w:t>
      </w:r>
    </w:p>
    <w:p>
      <w:r>
        <w:rPr>
          <w:b/>
        </w:rPr>
        <w:t>E. 3</w:t>
      </w:r>
    </w:p>
    <w:p>
      <w:r>
        <w:t>Les frais judiciaires, arrêtés à 1'000 fr., seront mis à la charge de l'appelante, qui succombe (art. 106 al. 1 CPC) et compensés avec l'avance fournie, qui reste acquise à l'Etat de Genève à due concurrence (art. 111 al. 1 CPC). L'appelante sera en outre condamnée à verser à l'intimée des dépens d'appel de 1'500 fr. (art. 105 al. 2, 111 al. 2 CPC; art. 84, 85 al. 1 et 90 RTFMC; art. 23 al. 1 LaCC), débours et TVA compris (art. 25 et 26 LaCC). * * * * *</w:t>
      </w:r>
    </w:p>
    <w:p>
      <w:r>
        <w:t>- 8/8 -</w:t>
      </w:r>
    </w:p>
    <w:p>
      <w:r>
        <w:t>C/16790/2021 PAR CES MOTIFS, La Chambre civile : A la forme : Déclare irrecevable l'appel interjeté le 4 avril 2022 par A______ contre le jugement JTPI/4070/2022 rendu le 30 mars 2022 par le Tribunal de première instance dans la cause C/16790/2021. Sur les frais : Arrête les frais judiciaires d'appel à 1'000 fr., compensés avec l'avance de frais fournie, acquise à l'Etat de Genève, et les met à la charge de A______. Condamne A______ à verser à B______ SA 1'500 fr. à titre de dépens d'appel. Déboute les parties de toutes autres conclusions. Siégeant : Madame Jocelyne DEVILLE-CHAVANNE, présidente; Madame Verena PEDRAZZINI RIZZI, Madame Nathalie LANDRY-BARTHE,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