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ACJC/1485/2017 vom 15. November 2017</w:t>
      </w:r>
    </w:p>
    <w:p>
      <w:r>
        <w:t>GE Cour de justice, 2017-11-15, FR</w:t>
      </w:r>
    </w:p>
    <w:p>
      <w:r>
        <w:rPr>
          <w:b/>
        </w:rPr>
        <w:t xml:space="preserve">Quelle: </w:t>
      </w:r>
      <w:r>
        <w:t>https://mcp.opencaselaw.ch/entscheid/ge_gerichte_ACJC_1485_2017</w:t>
      </w:r>
    </w:p>
    <w:p>
      <w:r>
        <w:t>FR: GE_GERICHTE ACJC/1485/2017 du 15 novembre 2017</w:t>
      </w:r>
    </w:p>
    <w:p>
      <w:r>
        <w:t>IT: GE_GERICHTE ACJC/1485/2017 del 15 novembre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Aux termes de l'art. 120 al. 1 CO, lorsque deux personnes sont débitrices l'une envers l'autre de sommes d'argent ou d'autres prestations de même espèce, chacune des parties peut compenser sa dette avec sa créance, si les deux dettes</w:t>
      </w:r>
    </w:p>
    <w:p>
      <w:r>
        <w:t>- 5/9 -</w:t>
      </w:r>
    </w:p>
    <w:p>
      <w:r>
        <w:t>C/7808/2017 sont exigibles. L'al. 2 de cette disposition stipule que le débiteur peut opposer la compensation même si sa créance est contestée.</w:t>
      </w:r>
    </w:p>
    <w:p>
      <w:r>
        <w:rPr>
          <w:b/>
        </w:rPr>
        <w:t>E. 2.5</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2.6</w:t>
      </w:r>
    </w:p>
    <w:p>
      <w:r>
        <w:t>En l'espèce, s'il n'est pas allégué ni prouvé que la défenderesse détient un photocopieur, il confine à la haute certitude que tel est le cas dès lors qu'elle a attendu le dépôt de la présente procédure pour faire valoir qu'elle n'en possède pas. Si telle était le cas, la défenderesse n'aurait pas manqué d'en informer la demanderesse à réception de l'estimation des factures et de la lettre de mise en demeure, ce qu'elle n'a pas prouvé avoir fait. Il en va de même avec l'absence d'employé alléguée.</w:t>
      </w:r>
    </w:p>
    <w:p>
      <w:r>
        <w:t>Par ailleurs, la défenderesse est toujours inscrite au Registre du commerce, ayant en outre récemment changé d'adresse, de sorte qu'elle n'a pas prouvé avoir cessé son activité et ne plus disposer de photocopieuse à ce jour, étant rappelé que l'usage effectif de la photocopieuse est irrelevant. Le questionnaire rempli pour l'année 2014 par la défenderesse, produit seulement dans le cadre de la présente procédure, n'est pas daté et aucune preuve de son envoi n'est produite, à l'instar des attestations de salaires des années 2010 à 2014, lesquelles ne suffisent pas à elles seules pour étayer les dires de la défenderesse.</w:t>
      </w:r>
    </w:p>
    <w:p>
      <w:r>
        <w:t>Conformément aux règles fixées dans les tarifs en question, la demanderesse a procédé à une estimation forfaitaire, non contestée par la défenderesse dans les trente jours suivant sa notification, laquelle sera retenue par la Cour.</w:t>
      </w:r>
    </w:p>
    <w:p>
      <w:r>
        <w:t>La défenderesse n'a pas non plus remis en cause les diverses factures que lui a adressées la demanderesse.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Enfin, dès lors que la défenderesse n'a pas démontré que les factures payées de 2016 et 2017 étaient indues, à l'instar de celles de 2012 et 2013, elles ne sauraient servir à compenser les factures impayées.</w:t>
      </w:r>
    </w:p>
    <w:p>
      <w:r>
        <w:t>Par conséquent, les prétentions de la demanderesse seront entièrement admises. La défenderesse sera dès lors condamnée à payer 181 fr. 45 avec intérêts à 5% depuis le 4 janvier 2016, date à partir de laquelle la défenderesse a été en demeure.</w:t>
      </w:r>
    </w:p>
    <w:p>
      <w:r>
        <w:t>- 6/9 -</w:t>
      </w:r>
    </w:p>
    <w:p>
      <w:r>
        <w:t>C/7808/2017</w:t>
      </w:r>
    </w:p>
    <w:p>
      <w:r>
        <w:rPr>
          <w:b/>
        </w:rPr>
        <w:t>E. 3.1</w:t>
      </w:r>
    </w:p>
    <w:p>
      <w:r>
        <w:t>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1'000 fr. (art. 17 RTFMC),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et 800 fr. à l'Etat de Genève, soit pour lui les Services financiers du Pouvoir judiciaire.</w:t>
      </w:r>
    </w:p>
    <w:p>
      <w:r>
        <w:rPr>
          <w:b/>
        </w:rPr>
        <w:t>E. 3.2.2</w:t>
      </w:r>
    </w:p>
    <w:p>
      <w:r>
        <w:t>En l'espèce, il ne peut être tenu compte uniquement de la faible valeur litigieuse pour fixer le montant des dépens, l'importance du travail fourni par le conseil de la demanderesse devant être pris en considération.</w:t>
      </w:r>
    </w:p>
    <w:p>
      <w:r>
        <w:t>- 7/9 -</w:t>
      </w:r>
    </w:p>
    <w:p>
      <w:r>
        <w:t>C/7808/2017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Enfin, lors du prononcé des arrêts de la Cour (ACJC/352/2017 et ACJC/351/2017) seules quelques causes étaient alors pendantes, dont la majorité a fait l'objet d'accord entre les parties ou de retraits, alors qu'actuellement un grand nombre de procédures sont en cours, objet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et à assister à la brève audience du 1er novembre 2017 et produire de nouvelles pièces, ladite défenderesse sera condamnée à payer à la demanderesse la somme de 1'000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- 8/9 -</w:t>
      </w:r>
    </w:p>
    <w:p>
      <w:r>
        <w:t>C/7808/2017 PAR CES MOTIFS, La Chambre civile : A la forme : Déclare recevable la demande en paiement formée le 4 avril 2017 par PROLITTERIS, SOCIETE SUISSE DE DROITS D'AUTEUR POUR L'ART LITTERAIRE ET PLASTIQUE, COOPERATIVE contre A______ dans la cause C/7808/2017. Au fond : Condamne A______ à payer à PROLITTERIS, SOCIETE SUISSE DE DROITS D'AUTEUR POUR L'ART LITTERAIRE ET PLASTIQUE, COOPERATIVE la somme de 181 fr. 45 avec intérêts à 5% depuis le 4 janvier 2016, à titre de redevances pour les années 2012 et 2013. Déboute les parties de toutes autres conclusions. Sur les frais : Arrête les frais judiciaires à 1'000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800 fr. à l'Etat de Genève, soit pour lui les Services financiers du Pouvoir judiciaire.</w:t>
      </w:r>
    </w:p>
    <w:p>
      <w:r>
        <w:t>- 9/9 -</w:t>
      </w:r>
    </w:p>
    <w:p>
      <w:r>
        <w:t>C/7808/2017 Condamne A______ à verser 1'000 fr. à PROLITTERIS, SOCIETE SUISSE DE DROITS D'AUTEUR POUR L'ART LITTERAIRE ET PLASTIQUE, COOPERATIVE à titre de dépens. Siégeant : Madame Valérie LAEMMEL-JUILLARD, présidente; Mesdames Nathalie LANDRY-BARTHE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