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ACJC/1483/2023 vom 15. November 2023</w:t>
      </w:r>
    </w:p>
    <w:p>
      <w:r>
        <w:t>GE Cour de justice, 2023-11-15, FR</w:t>
      </w:r>
    </w:p>
    <w:p>
      <w:r>
        <w:rPr>
          <w:b/>
        </w:rPr>
        <w:t xml:space="preserve">Quelle: </w:t>
      </w:r>
      <w:r>
        <w:t>https://mcp.opencaselaw.ch/entscheid/ge_gerichte_ACJC_1483_2023</w:t>
      </w:r>
    </w:p>
    <w:p>
      <w:r>
        <w:t>FR: GE_GERICHTE ACJC/1483/2023 du 15 novembre 2023</w:t>
      </w:r>
    </w:p>
    <w:p>
      <w:r>
        <w:t>IT: GE_GERICHTE ACJC/1483/2023 del 15 novembre 2023</w:t>
      </w:r>
    </w:p>
    <w:p>
      <w:pPr>
        <w:pStyle w:val="Heading2"/>
      </w:pPr>
      <w:r>
        <w:t>Erwägungen</w:t>
      </w:r>
    </w:p>
    <w:p>
      <w:r>
        <w:rPr>
          <w:b/>
        </w:rPr>
        <w:t>E. 1.1</w:t>
      </w:r>
    </w:p>
    <w:p>
      <w:r>
        <w:t>L'appel est recevable contre les décisions finales et incidentes de première instance (art. 308 al. 1 let. a CPC), dans les causes patrimoniales dont la valeur litigieuse au dernier état des conclusions est de 10'000 fr. au moins (art. 308 al. 2 CPC). En matière d'action en cessation de trouble, pour déterminer la valeur litigieuse, il faut évaluer la valeur dont augmentera le bien-fonds concerné par les atteintes, ou la valeur dont diminuera le bien-fonds qui cause ces atteintes, si les atteintes alléguées sont supprimées; le montant le plus élevé est alors décisif (arrêt du Tribunal fédéral 5A_774/2017 du 12 février 2018 consid. 1.2.4). En tant qu'il constate l'incompétence du Tribunal, le jugement entrepris constitue une décision finale de première instance et l'on peut retenir, sur la base des allégations des appelantes non contestées par l'intimée, que la valeur litigieuse est supérieure à 10'000 fr., de sorte que la voie de l'appel est ouverte.</w:t>
      </w:r>
    </w:p>
    <w:p>
      <w:r>
        <w:rPr>
          <w:b/>
        </w:rPr>
        <w:t>E. 1.2</w:t>
      </w:r>
    </w:p>
    <w:p>
      <w:r>
        <w:t>Interjeté dans le délai et les formes prescrits par la loi (art. 130, 131, 142 al. 1, 145 al. 1 let. c et 311 al. 1 CPC) auprès de l'autorité compétente (art. 120 al. 1 let. a LOJ), l'appel est recevable.</w:t>
      </w:r>
    </w:p>
    <w:p>
      <w:r>
        <w:rPr>
          <w:b/>
        </w:rPr>
        <w:t>E. 1.3</w:t>
      </w:r>
    </w:p>
    <w:p>
      <w:r>
        <w:t>S'agissant d'un appel, la Cour revoit la cause avec un plein pouvoir d'examen en fait et en droit (art. 310 CPC).</w:t>
      </w:r>
    </w:p>
    <w:p>
      <w:r>
        <w:rPr>
          <w:b/>
        </w:rPr>
        <w:t>E. 1.4</w:t>
      </w:r>
    </w:p>
    <w:p>
      <w:r>
        <w:t>La maxime des débats et le principe de disposition (art. 55 al. 1 et art. 58 al. 1 CPC) sont applicables.</w:t>
      </w:r>
    </w:p>
    <w:p>
      <w:r>
        <w:rPr>
          <w:b/>
        </w:rPr>
        <w:t>E. 2</w:t>
      </w:r>
    </w:p>
    <w:p>
      <w:r>
        <w:t>Les appelantes font grief au Tribunal d'avoir considéré que l'intimée bénéficiait du droit d'exproprier pour la réalisation de l'Eco-Point litigieux et que, de ce fait, les juridictions civiles étaient incompétentes pour trancher du litige. 2.1.1 Le tribunal examine d'office si les conditions de recevabilité sont remplies (art. 60 CPC) et n'entre en matière que sur les demandes et les requêtes qui satisfont aux conditions de recevabilité de l'action (art. 59 al. 1 CPC). Parmi celles-ci figure la compétence matérielle du tribunal saisi (art. 59 al. 2 let. b CPC). Sauf disposition contraire de la loi, le droit cantonal détermine la compétence matérielle des tribunaux (art. 4 al. 1 CPC). A Genève, les tribunaux civils traitent des litiges de droit privé (art. 86 LOJ, RSGE E 2 05) et les autorités et les tribunaux administratifs des litiges de droit public et de droit administratif (art. 116 LOJ). C'est d'après l'objet du litige qu'il y a lieu de déterminer si l'on se trouve en présence d'un litige relevant du droit civil ou du droit public. Cet objet est déterminé par les conclusions de la demande et par les faits invoqués à l'appui de</w:t>
      </w:r>
    </w:p>
    <w:p>
      <w:r>
        <w:t>- 7/11 -</w:t>
      </w:r>
    </w:p>
    <w:p>
      <w:r>
        <w:t>C/6505/2022 celle-ci (ATF 142 III 210 consid. 2.1 ; arrêt du Tribunal fédéral 5A_101/2021 du 28 mai 2021 consid. 3.1 et la jurisprudence citée ; HOHL, Procédure civile, Tome I, 2016, n. 56 et 61, p. 22 et 23). 2.1.2 Celui qui est atteint ou menacé d’un dommage parce qu’un propriétaire excède son droit, peut actionner ce propriétaire pour qu’il remette les choses en l’état ou prenne des mesures en vue d’écarter le danger, sans préjudice de tous dommages-intérêts (art. 679 al. 1 CC). L'action de l'art. 679 CC tend à la cessation du trouble, par une intervention sur le fonds d'origine de l'immission, ou à sa prévention. Elle a également pour objet la réparation du préjudice, qui peut se faire par des dispositions à prendre sur le fonds touché. En principe, la collectivité publique est soumise à la responsabilité du propriétaire foncier telle qu'elle est prévue par le code civil. Elle répond donc des dommages que l'exploitation des ouvrages cause aux voisins (BOVEY, L'expropriation des droits de voisinage, 2000, p. 91), et ce, que le fonds à l'origine des immissions fasse partie du patrimoine fiscal ou administratif de la collectivité (ou dont l'usage est commun) (ATF 143 III 242 consid. 3.5; STEINAUER, Les droit réels, Tome II, 2020, n. 2776). L'application des art. 679 ss CC aux immeubles publics ne saurait toutefois avoir pour conséquence d'entraver la collectivité publique dans l'accomplissement de ses tâches (STEINAUER, op. cit., n. 2777). C'est pourquoi, lorsque des immissions excessives – au sens de l'art. 684 CC – sont nécessairement liées à l'utilisation ou à l'exploitation conforme à son affectation de l'ouvrage public en cause, les voisins dont les biens-fonds sont touchés par celles-ci peuvent, à certaines conditions, être dépouillés de leurs droits de défense par la voie de l'expropriation formelle (BOVEY, op. cit., p. 91). Le Tribunal fédéral a ainsi considéré que dans la mesures où les immissions sont inévitablement causées – soit qu'elles ne peuvent être évitées ou ne peuvent l'être sans frais disproportionnés – par l'utilisation conforme à sa destination d'un ouvrage d'utilité publique pour la réalisation duquel la collectivité disposait du droit d'expropriation, le voisin ne peut pas mettre en œuvre les actions défensives et réparatrices du droit privé prévues à l'art. 679 CC. Ces actions sont remplacées par une prétention en versement d'une indemnité d'expropriation sur lequel le juge de l'expropriation est seul compétent pour statuer (ATF 143 III 242 consid. 3.5 et les arrêts cités ; BOVEY, op. cit., p. 167 ; REY/STREBEL, Commentaire bâlois, CC II, 2023, n. 14 ad art. 679 CC). L'action civile n'est ainsi exclue que si les émissions sont inévitables ou évitables seulement au prix de frais disproportionnés (ATF 119 II 411 = JdT 1995 I 349).</w:t>
      </w:r>
    </w:p>
    <w:p>
      <w:r>
        <w:t>- 8/11 -</w:t>
      </w:r>
    </w:p>
    <w:p>
      <w:r>
        <w:t>C/6505/2022 En revanche, si les immissions excessives liées à l’accomplissement de tâches publiques sont évitables ou sans frais disproportionnés, alors le voisin peut toujours agir en cessation et en prévention du trouble devant le juge civil et exiger en outre, le cas échéant, des dommages-intérêts (BOVEY, op. cit., p. 91). Le Tribunal fédéral a ainsi considéré, par exemple, que des mesures adéquates étaient possibles à un coût raisonnable (renforcement des patrouilles de police et du personnel du local) pour éviter que des toxicomanes fréquentant un local ouvert par l'Etat n'utilisent les fonds voisins pour commercer ou se droguer de sorte que l'action civile était recevable (ATF 119 II 411 = JdT 1995 I 349). 2.2.1 En l'espèce, les appelantes ont formé leur demande à l'encontre de l'intimée en se fondant sur les art. 684 et 679 CC. Elles ont allégué que l'Eco-Point et le coffret électrique situés sur la parcelle appartenant à l'intimée, soit le fonds voisin, produisait des immissions – sonores, olfactives, visuelles et que cela produisait de la poussière et attirait les insectes – excessives, de sorte qu'elles ne pouvaient plus profiter de leurs espaces extérieurs, ce qui constituait une atteinte à leurs droits de voisinage, raison pour laquelle l'Eco-Point et le coffret électrique devaient être supprimés. Pour sa part, l'intimée a fait valoir que l'Eco-Point était conforme sur le plan administratif, s'agissant notamment de son autorisation de construire, et avait été conçu afin de limiter au maximum les éventuelles nuisances de sorte que ces dernières étaient extrêmement faibles et ne dépassaient pas le seuil permettant de retenir une violation des règles de voisinage. Il convient de relever que la législation genevoise en matière de police des constructions a pour seul but d'assurer la conformité du projet présenté avec les prescriptions en matière de construction et d'aménagement intérieurs et extérieurs des bâtiments et des installations. En revanche, elle n'a pas pour objet de veiller au respect des droits réels (ATA/1104/2020 du 3 novembre 2020 consid. 4c ; ATA/310/2006 du 13 juin 2006 consid. 5 ; ATA/653/2004 du 24 août 2004 consid. 2a ; ATA/434/1998 du 28 juillet 1998 consid. 6). Par conséquent, ce n'est pas parce qu'une installation a été autorisée par les autorités administratives qu'elle ne peut pas donner lieu à des litiges relevant du droit privé. Compte tenu de ce qui précède, il doit être constaté que les parties s'opposent notamment et en premier lieu sur la qualification des immissions provenant du fonds de l'intimée. Cette dernière a d'ailleurs refusé d'entrer en matière sur la demande d'expropriation formelle formée par les appelantes en novembre 2021 au motif que les appelantes n'auraient jamais été restreintes, d'une quelconque manière, dans leur droits ou obligations de propriétaires et qu'il n'y avait donc pas matière à les indemniser.</w:t>
      </w:r>
    </w:p>
    <w:p>
      <w:r>
        <w:t>- 9/11 -</w:t>
      </w:r>
    </w:p>
    <w:p>
      <w:r>
        <w:t>C/6505/2022 Or, ce n'est que si celles-ci sont reconnues comme excessives et ne pouvant être évitées sans frais disproportionnés que la voie de l'expropriation formelle s'impose. Dès lors, avant même d'examiner si l'intimée serait en droit d'exproprier les droits de voisinage des appelantes, il est nécessaire que ces questions soient examinées. Ce n'est que si le juge civil devait constater que les immissions dont les appelantes se plaignent sont excessives et inévitables, qu'il conviendrait alors d'examiner si l'intimée est en droit d'exproprier les appelantes, raison pour laquelle cette question n'a pas été examinée dans le présent arrêt, bien que les parties aient fondé l'essentiel de leur argumentation sur ce point. Par conséquent, faute pour l'intimée d'avoir admis d'emblée l'existence d'immissions excessives inévitables, les autorités civiles sont compétentes pour connaître de la demande formée par les appelantes fondée sur le droit de voisinage. Au vu de ce qui précède, les chiffres 1 et 2 du dispositif du jugement attaqué seront annulés et il sera statué à nouveau dans le sens que le Tribunal est compétent pour connaître de la demande des appelantes, laquelle est recevable sous cet angle. La cause sera renvoyée au Tribunal afin qu'il poursuive l'instruction et rende un jugement sur le fond.</w:t>
      </w:r>
    </w:p>
    <w:p>
      <w:r>
        <w:rPr>
          <w:b/>
        </w:rPr>
        <w:t>E. 3.1</w:t>
      </w:r>
    </w:p>
    <w:p>
      <w:r>
        <w:t>Aucune des parties n'obtient, en l'état, gain de cause sur le fond. L'issue du litige ne pouvant être déterminée, les chiffres 3 à 7 du dispositif du jugement seront annulés, le sort des frais et dépens de première instance devant être tranché dans le jugement à prononcer après le présent arrêt de renvoi (art. 318 al. 3 CPC).</w:t>
      </w:r>
    </w:p>
    <w:p>
      <w:r>
        <w:rPr>
          <w:b/>
        </w:rPr>
        <w:t>E. 3.2</w:t>
      </w:r>
    </w:p>
    <w:p>
      <w:r>
        <w:t>Les frais judiciaires de la procédure d'appel seront arrêtés à 2'000 fr. (art. 7, 13, 17 et 36 RTFMC) et seront mis à la charge de l'intimée, qui succombe (art. 106 al. 1 CPC). Ils seront compensés avec l'avance de 1'000 fr. fournie par les appelantes, qui reste acquise à l'Etat de Genève (art. 111 al. 1 CPC). L'intimée sera ainsi condamnée à verser aux appelantes la somme de 1'000 fr. (art. 111 al. 2 CPC) ainsi qu'à s'acquitter d'une somme de 1'000 fr. à l'Etat de Genève, soit pour lui les Services financiers du Pouvoir judiciaire à titre de solde des frais judiciaires d'appel. Elle sera par ailleurs condamnée à payer aux appelantes la somme de 4'000 fr., débours et TVA inclus, à titre de dépens d'appel (art. 84, 85, 87 et 90 RTFMC). * * * * *</w:t>
      </w:r>
    </w:p>
    <w:p>
      <w:r>
        <w:t>- 10/11 -</w:t>
      </w:r>
    </w:p>
    <w:p>
      <w:r>
        <w:t>C/6505/2022 PAR CES MOTIFS, La Chambre civile : A la forme : Déclare recevable l'appel interjeté le 30 janvier 2023 par l'hoirie de A______ et B______ contre le jugement JTPI/14845/2022 rendu le 14 décembre 2022 par le Tribunal de première instance dans la cause C/6505/2022. Au fond : Annule le jugement entrepris, puis, statuant à nouveau : Constate que le Tribunal de première instance est compétent pour connaître de l'action en cessation de l'atteinte introduite par l'hoirie de A______ et B______ contre la commune de C______. Renvoie la cause au Tribunal de première instance pour suite d'instruction et décision dans le sens des considérants. Déboute les parties de toutes autres conclusions. Sur les frais : Arrête les frais judiciaires d'appel à 2'000 fr. et dit qu'ils sont compensés avec l'avance de 1'000 fr. fournie par l'hoirie de A______ et B______, qui reste acquise à l'Etat de Genève. Met ces frais à la charge de la commune de C______ et la condamne, en conséquence, à verser 1'000 fr. à l'hoirie de A______ et B______ au titre de remboursement des frais judiciaires d'appel ainsi que 1'000 fr. à l'Etat de Genève, soit pour lui les Services financiers du Pouvoir judiciaire à titre de solde des frais judiciaires d'appel. Condamne la commune de C______ à verser 4'000 fr. à l'hoirie de A______ et B______ à titre de dépens d'appel. Siégeant : Monsieur Laurent RIEBEN, président; Monsieur Patrick CHENAUX, Madame Fabienne GEISINGER-MARIETHOZ, juges; Madame Camille LESTEVEN, greffière.</w:t>
      </w:r>
    </w:p>
    <w:p>
      <w:r>
        <w:t>- 11/11 -</w:t>
      </w:r>
    </w:p>
    <w:p>
      <w:r>
        <w:t>C/6505/2022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